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  <w:bookmarkStart w:id="0" w:name="_GoBack"/>
      <w:bookmarkEnd w:id="0"/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 xml:space="preserve">14:00 hod. téhož dne, ve kterém mu byla objednávka dle </w:t>
      </w:r>
      <w:r w:rsidR="007F4407" w:rsidRPr="00F7283A">
        <w:rPr>
          <w:noProof w:val="0"/>
        </w:rPr>
        <w:t xml:space="preserve">předchozího </w:t>
      </w:r>
      <w:r w:rsidR="006F5689" w:rsidRPr="00F7283A">
        <w:rPr>
          <w:noProof w:val="0"/>
        </w:rPr>
        <w:t xml:space="preserve">odstavce doručena, tuto </w:t>
      </w:r>
      <w:r w:rsidR="006F5689" w:rsidRPr="00980616">
        <w:rPr>
          <w:noProof w:val="0"/>
        </w:rPr>
        <w:t>objednávku buďto potvrdit, nebo odmítnout,</w:t>
      </w:r>
      <w:r w:rsidR="004D221B" w:rsidRPr="00980616">
        <w:rPr>
          <w:noProof w:val="0"/>
        </w:rPr>
        <w:t xml:space="preserve"> </w:t>
      </w:r>
      <w:r w:rsidR="006F5689" w:rsidRPr="00980616">
        <w:rPr>
          <w:noProof w:val="0"/>
        </w:rPr>
        <w:t xml:space="preserve">a to e-mailem na adresu </w:t>
      </w:r>
      <w:hyperlink r:id="rId8" w:history="1">
        <w:r w:rsidR="006F5689" w:rsidRPr="00980616">
          <w:rPr>
            <w:rStyle w:val="Hypertextovodkaz"/>
            <w:noProof w:val="0"/>
          </w:rPr>
          <w:t>gastro@cnb.cz</w:t>
        </w:r>
      </w:hyperlink>
      <w:r w:rsidR="006F5689" w:rsidRPr="00980616">
        <w:rPr>
          <w:noProof w:val="0"/>
        </w:rPr>
        <w:t xml:space="preserve"> nebo telefonicky na číslo: +420 224 412 550, </w:t>
      </w:r>
      <w:r w:rsidR="004F6AFF" w:rsidRPr="00980616">
        <w:rPr>
          <w:noProof w:val="0"/>
        </w:rPr>
        <w:t>+420 224 412 237</w:t>
      </w:r>
      <w:r w:rsidR="006F5689" w:rsidRPr="00980616">
        <w:rPr>
          <w:noProof w:val="0"/>
        </w:rPr>
        <w:t>.</w:t>
      </w:r>
      <w:r w:rsidR="006F5689" w:rsidRPr="00F7283A">
        <w:rPr>
          <w:noProof w:val="0"/>
        </w:rPr>
        <w:t xml:space="preserve">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případě, že</w:t>
      </w:r>
      <w:r w:rsidR="000C252D" w:rsidRPr="00F7283A">
        <w:rPr>
          <w:noProof w:val="0"/>
        </w:rPr>
        <w:t> </w:t>
      </w:r>
      <w:r w:rsidRPr="00F7283A">
        <w:rPr>
          <w:noProof w:val="0"/>
        </w:rPr>
        <w:t>objednávka nebude prodávajícím potvrzena do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980616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>skupině Contract References), nebo číslo objednávky (ve formátu ISDOC v poli External_Order_ID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OrderReference),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980616">
        <w:rPr>
          <w:sz w:val="24"/>
          <w:szCs w:val="24"/>
        </w:rPr>
        <w:t xml:space="preserve">však o </w:t>
      </w:r>
      <w:r w:rsidR="00E12B58" w:rsidRPr="00980616">
        <w:rPr>
          <w:sz w:val="24"/>
          <w:szCs w:val="24"/>
        </w:rPr>
        <w:t>30</w:t>
      </w:r>
      <w:r w:rsidR="001E683B" w:rsidRPr="00980616">
        <w:rPr>
          <w:sz w:val="24"/>
          <w:szCs w:val="24"/>
        </w:rPr>
        <w:t xml:space="preserve"> %.</w:t>
      </w:r>
      <w:r w:rsidR="001E683B" w:rsidRPr="00F7283A">
        <w:rPr>
          <w:sz w:val="24"/>
          <w:szCs w:val="24"/>
        </w:rPr>
        <w:t xml:space="preserve">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980616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uzavírá na dobu </w:t>
      </w:r>
      <w:r w:rsidRPr="00980616">
        <w:rPr>
          <w:bCs/>
          <w:noProof w:val="0"/>
        </w:rPr>
        <w:t xml:space="preserve">určitou, a to </w:t>
      </w:r>
      <w:r w:rsidR="00434B78" w:rsidRPr="00980616">
        <w:rPr>
          <w:bCs/>
          <w:noProof w:val="0"/>
        </w:rPr>
        <w:t>12</w:t>
      </w:r>
      <w:r w:rsidRPr="00980616">
        <w:rPr>
          <w:bCs/>
          <w:noProof w:val="0"/>
        </w:rPr>
        <w:t xml:space="preserve"> měsíců ode dne její účinnosti.</w:t>
      </w:r>
      <w:r w:rsidR="00835788" w:rsidRPr="00980616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980616">
        <w:rPr>
          <w:bCs/>
          <w:noProof w:val="0"/>
        </w:rPr>
        <w:t xml:space="preserve">Tuto rámcovou dohodu lze ukončit písemnou výpovědí bez udání důvodu. Výpovědní doba činí </w:t>
      </w:r>
      <w:r w:rsidR="00E12B58" w:rsidRPr="00980616">
        <w:rPr>
          <w:bCs/>
          <w:noProof w:val="0"/>
        </w:rPr>
        <w:t>1 měsíc</w:t>
      </w:r>
      <w:r w:rsidRPr="00980616">
        <w:rPr>
          <w:bCs/>
          <w:noProof w:val="0"/>
        </w:rPr>
        <w:t xml:space="preserve"> a počíná běžet první den kalendářního měsíce</w:t>
      </w:r>
      <w:r w:rsidRPr="00F7283A">
        <w:rPr>
          <w:bCs/>
          <w:noProof w:val="0"/>
        </w:rPr>
        <w:t xml:space="preserve"> následujícího po měsíci, ve kterém byla doručena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32670" w:rsidRDefault="00A32670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</w:p>
    <w:p w:rsidR="00A32670" w:rsidRDefault="00A32670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</w:p>
    <w:p w:rsidR="00A32670" w:rsidRDefault="00A32670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C85">
          <w:t>4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7D4C85">
      <w:rPr>
        <w:i/>
        <w:sz w:val="20"/>
        <w:szCs w:val="20"/>
      </w:rPr>
      <w:t>920012500244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4C85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0616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2670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04F44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2B58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B1E5-7125-4798-AAD6-C0DBBB8E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4209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Dyluš Vojtěch</cp:lastModifiedBy>
  <cp:revision>5</cp:revision>
  <cp:lastPrinted>2024-05-29T09:56:00Z</cp:lastPrinted>
  <dcterms:created xsi:type="dcterms:W3CDTF">2025-07-22T13:21:00Z</dcterms:created>
  <dcterms:modified xsi:type="dcterms:W3CDTF">2025-07-24T05:21:00Z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