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6" w:rsidRPr="0024119C" w:rsidRDefault="00D91706" w:rsidP="00D91706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:rsidR="00D91706" w:rsidRDefault="00D91706" w:rsidP="00D91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D91706" w:rsidRDefault="00D91706" w:rsidP="00D91706">
      <w:pPr>
        <w:rPr>
          <w:b/>
          <w:sz w:val="28"/>
          <w:szCs w:val="28"/>
        </w:rPr>
      </w:pPr>
    </w:p>
    <w:p w:rsidR="00D91706" w:rsidRPr="000355BF" w:rsidRDefault="00D91706" w:rsidP="00D91706">
      <w:pPr>
        <w:rPr>
          <w:b/>
        </w:rPr>
      </w:pPr>
      <w:r w:rsidRPr="000355BF">
        <w:rPr>
          <w:b/>
        </w:rPr>
        <w:t xml:space="preserve">Název veřejné zakázky:  </w:t>
      </w:r>
    </w:p>
    <w:p w:rsidR="007025E0" w:rsidRPr="007025E0" w:rsidRDefault="007025E0" w:rsidP="007025E0">
      <w:pPr>
        <w:jc w:val="both"/>
        <w:rPr>
          <w:b/>
        </w:rPr>
      </w:pPr>
      <w:r w:rsidRPr="007025E0">
        <w:rPr>
          <w:b/>
        </w:rPr>
        <w:t xml:space="preserve">„Dodávky plastových sáčků pro standardní balení bankovek </w:t>
      </w:r>
      <w:r w:rsidR="00226C3F">
        <w:rPr>
          <w:b/>
        </w:rPr>
        <w:t xml:space="preserve">a mincí </w:t>
      </w:r>
      <w:r w:rsidRPr="007025E0">
        <w:rPr>
          <w:b/>
        </w:rPr>
        <w:t>v rámci jejich adjustace“</w:t>
      </w:r>
    </w:p>
    <w:p w:rsidR="00D91706" w:rsidRDefault="00D91706" w:rsidP="00D91706">
      <w:pPr>
        <w:jc w:val="center"/>
        <w:rPr>
          <w:b/>
          <w:sz w:val="28"/>
          <w:szCs w:val="28"/>
        </w:rPr>
      </w:pPr>
    </w:p>
    <w:p w:rsidR="00D91706" w:rsidRDefault="00D91706" w:rsidP="00D91706">
      <w:r>
        <w:t>Účastník:</w:t>
      </w:r>
    </w:p>
    <w:p w:rsidR="00D91706" w:rsidRDefault="00D91706" w:rsidP="00D91706"/>
    <w:p w:rsidR="00D91706" w:rsidRDefault="00D91706" w:rsidP="00D91706">
      <w:r>
        <w:t>název ..........…………………………………………...……….……………………..,</w:t>
      </w:r>
    </w:p>
    <w:p w:rsidR="00D91706" w:rsidRDefault="00D91706" w:rsidP="00D91706">
      <w:r>
        <w:t>se sídlem …………………………………………..………………………..…………………..,</w:t>
      </w:r>
    </w:p>
    <w:p w:rsidR="00D91706" w:rsidRDefault="00D91706" w:rsidP="00D91706">
      <w:pPr>
        <w:outlineLvl w:val="0"/>
      </w:pPr>
      <w:r>
        <w:t>IČO (bylo-li přiděleno): ………………………………………………………………………..,</w:t>
      </w:r>
    </w:p>
    <w:p w:rsidR="00D91706" w:rsidRDefault="00D91706" w:rsidP="00D91706">
      <w:r>
        <w:t>zapsaný v ……………………………………………………………………………………….</w:t>
      </w:r>
    </w:p>
    <w:p w:rsidR="00D91706" w:rsidRDefault="00D91706" w:rsidP="00D91706">
      <w:pPr>
        <w:rPr>
          <w:i/>
        </w:rPr>
      </w:pPr>
      <w:r>
        <w:rPr>
          <w:i/>
        </w:rPr>
        <w:t xml:space="preserve">                    (účastník vyplní v případě, že je zapsán v obchodním rejstříku)</w:t>
      </w:r>
    </w:p>
    <w:p w:rsidR="00D91706" w:rsidRDefault="00D91706" w:rsidP="00D91706">
      <w:pPr>
        <w:spacing w:before="120"/>
      </w:pPr>
      <w:r>
        <w:t>(dále jen „účastník“)</w:t>
      </w:r>
    </w:p>
    <w:p w:rsidR="00D91706" w:rsidRDefault="00D91706" w:rsidP="00D91706"/>
    <w:p w:rsidR="00D91706" w:rsidRDefault="00D91706" w:rsidP="00D91706">
      <w:r>
        <w:t>tímto prohlašuje, že není účastníkem, který</w:t>
      </w:r>
    </w:p>
    <w:p w:rsidR="00D91706" w:rsidRPr="00A919F2" w:rsidRDefault="00D91706" w:rsidP="00D9170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>
        <w:rPr>
          <w:b/>
          <w:i/>
        </w:rPr>
        <w:t>)</w:t>
      </w:r>
    </w:p>
    <w:p w:rsidR="00D91706" w:rsidRPr="004C79EE" w:rsidRDefault="00D91706" w:rsidP="00D9170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D91706" w:rsidRPr="004C79EE" w:rsidRDefault="00D91706" w:rsidP="00D917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D91706" w:rsidRPr="004C79EE" w:rsidRDefault="00D91706" w:rsidP="00D917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D91706" w:rsidRPr="00D95755" w:rsidRDefault="00D91706" w:rsidP="00D917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</w:pPr>
    </w:p>
    <w:p w:rsidR="00D91706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5B6303" w:rsidRDefault="005B6303" w:rsidP="005B6303">
      <w:pPr>
        <w:widowControl w:val="0"/>
        <w:autoSpaceDE w:val="0"/>
        <w:autoSpaceDN w:val="0"/>
        <w:adjustRightInd w:val="0"/>
        <w:ind w:left="720"/>
        <w:jc w:val="both"/>
      </w:pPr>
    </w:p>
    <w:p w:rsidR="005B6303" w:rsidRPr="000F27FD" w:rsidRDefault="005B6303" w:rsidP="005B63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 xml:space="preserve"> ve vztahu ke spotřební dani;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D91706" w:rsidRDefault="00D91706" w:rsidP="00D91706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D91706" w:rsidRDefault="00D91706" w:rsidP="00D91706">
      <w:pPr>
        <w:jc w:val="both"/>
      </w:pPr>
      <w:r>
        <w:t>Dále účastník prohlašuje, že:</w:t>
      </w:r>
    </w:p>
    <w:p w:rsidR="00D91706" w:rsidRDefault="00D91706" w:rsidP="00D91706">
      <w:pPr>
        <w:jc w:val="both"/>
      </w:pPr>
    </w:p>
    <w:p w:rsidR="007F3AF8" w:rsidRDefault="007F3AF8" w:rsidP="007F3AF8">
      <w:pPr>
        <w:pStyle w:val="Odstavecseseznamem"/>
        <w:jc w:val="both"/>
      </w:pPr>
    </w:p>
    <w:p w:rsidR="007F3AF8" w:rsidRDefault="007F3AF8" w:rsidP="007F3AF8">
      <w:pPr>
        <w:pStyle w:val="Odstavecseseznamem"/>
        <w:numPr>
          <w:ilvl w:val="0"/>
          <w:numId w:val="4"/>
        </w:numPr>
        <w:contextualSpacing w:val="0"/>
        <w:jc w:val="both"/>
      </w:pPr>
      <w:r w:rsidRPr="00243C2F">
        <w:t xml:space="preserve">v nabídce nabízené </w:t>
      </w:r>
      <w:r>
        <w:t>plastové sáčky</w:t>
      </w:r>
      <w:r w:rsidRPr="00243C2F">
        <w:t xml:space="preserve"> neobsahují žádné nebezpečné látky a nevykazují žádné vlastnosti ve smyslu čl. 33 nařízení REACH (1907/2006/EC).</w:t>
      </w:r>
    </w:p>
    <w:p w:rsidR="003C77D0" w:rsidRPr="007A21F1" w:rsidRDefault="00D91706" w:rsidP="00E464DF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>dle § 77 zákona je zapsán v obchodním rejstříku</w:t>
      </w:r>
      <w:r w:rsidR="002012DA" w:rsidRPr="007A21F1">
        <w:t>;</w:t>
      </w:r>
    </w:p>
    <w:p w:rsidR="00E464DF" w:rsidRDefault="00C83B75" w:rsidP="00EE7CE8">
      <w:pPr>
        <w:pStyle w:val="Odstavecseseznamem"/>
        <w:numPr>
          <w:ilvl w:val="0"/>
          <w:numId w:val="4"/>
        </w:numPr>
        <w:tabs>
          <w:tab w:val="clear" w:pos="720"/>
          <w:tab w:val="left" w:pos="709"/>
        </w:tabs>
        <w:jc w:val="both"/>
      </w:pPr>
      <w:r w:rsidRPr="007A21F1">
        <w:t xml:space="preserve">dle § 79 odst. 2 písm. b) </w:t>
      </w:r>
      <w:r w:rsidR="007A21F1" w:rsidRPr="007A21F1">
        <w:t xml:space="preserve">zákona realizoval </w:t>
      </w:r>
      <w:r w:rsidR="00757463" w:rsidRPr="00553596">
        <w:t>za poslední 3 roky před zahájením zadávacího řízení</w:t>
      </w:r>
      <w:r w:rsidR="00757463">
        <w:t xml:space="preserve"> alespoň </w:t>
      </w:r>
      <w:r w:rsidR="00EE7CE8">
        <w:t>3</w:t>
      </w:r>
      <w:r w:rsidRPr="007A21F1">
        <w:t xml:space="preserve"> významné </w:t>
      </w:r>
      <w:r w:rsidR="00E464DF" w:rsidRPr="007A21F1">
        <w:t>dodávky</w:t>
      </w:r>
      <w:r w:rsidRPr="007A21F1">
        <w:t xml:space="preserve">. </w:t>
      </w:r>
      <w:r w:rsidR="00EE7CE8" w:rsidRPr="00553596">
        <w:t>Významnou dodávkou se rozumí dodávka obdobná jako je předmět této zakázky</w:t>
      </w:r>
      <w:r w:rsidR="008B503E">
        <w:t xml:space="preserve"> </w:t>
      </w:r>
      <w:r w:rsidR="008B503E" w:rsidRPr="00073889">
        <w:t>(tj. dodávk</w:t>
      </w:r>
      <w:r w:rsidR="008B503E">
        <w:t>a</w:t>
      </w:r>
      <w:r w:rsidR="008B503E" w:rsidRPr="00073889">
        <w:t xml:space="preserve"> plastových sáčků</w:t>
      </w:r>
      <w:r w:rsidR="008B503E">
        <w:t xml:space="preserve"> nebo plastových</w:t>
      </w:r>
      <w:r w:rsidR="008B503E" w:rsidRPr="00073889">
        <w:t xml:space="preserve"> fólií)</w:t>
      </w:r>
      <w:r w:rsidR="00EE7CE8" w:rsidRPr="00553596">
        <w:t xml:space="preserve">, přičemž cena každé této dodávky uvedené na seznamu činí minimálně </w:t>
      </w:r>
      <w:r w:rsidR="00EE7CE8">
        <w:t>300 </w:t>
      </w:r>
      <w:r w:rsidR="00EE7CE8" w:rsidRPr="00553596">
        <w:t>000,- Kč bez DPH</w:t>
      </w:r>
      <w:r w:rsidR="007F3AF8">
        <w:t>.</w:t>
      </w:r>
    </w:p>
    <w:p w:rsidR="00BE0803" w:rsidRDefault="00BE0803" w:rsidP="006A229C">
      <w:pPr>
        <w:ind w:left="360"/>
        <w:jc w:val="both"/>
      </w:pPr>
    </w:p>
    <w:p w:rsidR="007F3AF8" w:rsidRPr="00745254" w:rsidRDefault="007F3AF8" w:rsidP="007F3AF8">
      <w:pPr>
        <w:pStyle w:val="Textpsmene"/>
        <w:numPr>
          <w:ilvl w:val="0"/>
          <w:numId w:val="0"/>
        </w:numPr>
        <w:ind w:left="426" w:firstLine="282"/>
        <w:rPr>
          <w:i/>
          <w:highlight w:val="yellow"/>
        </w:rPr>
      </w:pPr>
      <w:r>
        <w:rPr>
          <w:i/>
          <w:highlight w:val="yellow"/>
        </w:rPr>
        <w:t>Účastník</w:t>
      </w:r>
      <w:r w:rsidRPr="00745254">
        <w:rPr>
          <w:i/>
          <w:highlight w:val="yellow"/>
        </w:rPr>
        <w:t xml:space="preserve"> uvede alespoň následující údaje:</w:t>
      </w:r>
    </w:p>
    <w:p w:rsidR="007F3AF8" w:rsidRPr="00745254" w:rsidRDefault="007F3AF8" w:rsidP="007F3AF8">
      <w:pPr>
        <w:pStyle w:val="Textpsmene"/>
        <w:numPr>
          <w:ilvl w:val="0"/>
          <w:numId w:val="0"/>
        </w:numPr>
        <w:tabs>
          <w:tab w:val="left" w:pos="709"/>
        </w:tabs>
        <w:ind w:left="644"/>
        <w:rPr>
          <w:i/>
          <w:highlight w:val="yellow"/>
        </w:rPr>
      </w:pPr>
    </w:p>
    <w:p w:rsidR="007F3AF8" w:rsidRPr="00745254" w:rsidRDefault="007F3AF8" w:rsidP="007F3AF8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>identifikace objednatele,</w:t>
      </w:r>
    </w:p>
    <w:p w:rsidR="007F3AF8" w:rsidRPr="00745254" w:rsidRDefault="007F3AF8" w:rsidP="007F3AF8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předmět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7F3AF8" w:rsidRPr="00745254" w:rsidRDefault="007F3AF8" w:rsidP="007F3AF8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doba poskytnutí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7F3AF8" w:rsidRPr="00745254" w:rsidRDefault="007F3AF8" w:rsidP="007F3AF8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cena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7F3AF8" w:rsidRPr="00745254" w:rsidRDefault="007F3AF8" w:rsidP="007F3AF8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kontaktní osoba objednatele, u které bude možné realizaci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 xml:space="preserve"> ověřit.</w:t>
      </w:r>
      <w:r w:rsidRPr="00745254">
        <w:rPr>
          <w:b/>
          <w:i/>
          <w:highlight w:val="yellow"/>
        </w:rPr>
        <w:t xml:space="preserve">  </w:t>
      </w:r>
      <w:r w:rsidRPr="00745254">
        <w:rPr>
          <w:i/>
          <w:highlight w:val="yellow"/>
        </w:rPr>
        <w:t xml:space="preserve"> </w:t>
      </w:r>
    </w:p>
    <w:p w:rsidR="00BE0803" w:rsidRPr="007A21F1" w:rsidRDefault="00BE0803" w:rsidP="00BE0803">
      <w:pPr>
        <w:ind w:left="360"/>
        <w:jc w:val="both"/>
      </w:pPr>
    </w:p>
    <w:p w:rsidR="00D91706" w:rsidRDefault="00D91706" w:rsidP="00D91706">
      <w:pPr>
        <w:ind w:left="720"/>
        <w:jc w:val="both"/>
        <w:rPr>
          <w:rFonts w:eastAsia="MS Mincho"/>
        </w:rPr>
      </w:pPr>
    </w:p>
    <w:p w:rsidR="00D91706" w:rsidRPr="004A468C" w:rsidRDefault="00D91706" w:rsidP="00D91706">
      <w:pPr>
        <w:ind w:left="720"/>
        <w:jc w:val="both"/>
        <w:rPr>
          <w:rFonts w:eastAsia="MS Mincho"/>
        </w:rPr>
      </w:pPr>
    </w:p>
    <w:p w:rsidR="00D91706" w:rsidRDefault="00D91706" w:rsidP="00D91706">
      <w:pPr>
        <w:rPr>
          <w:i/>
          <w:sz w:val="18"/>
          <w:szCs w:val="18"/>
        </w:rPr>
      </w:pPr>
      <w:r>
        <w:t xml:space="preserve"> </w:t>
      </w:r>
    </w:p>
    <w:p w:rsidR="00D91706" w:rsidRDefault="00D91706" w:rsidP="00D91706">
      <w:pPr>
        <w:jc w:val="both"/>
        <w:rPr>
          <w:b/>
          <w:i/>
        </w:rPr>
      </w:pPr>
    </w:p>
    <w:p w:rsidR="00D91706" w:rsidRDefault="00D91706" w:rsidP="00D91706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D91706" w:rsidRDefault="00D91706" w:rsidP="00D91706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D91706" w:rsidRDefault="00D91706" w:rsidP="00D91706">
      <w:r>
        <w:t xml:space="preserve">                                                                                     </w:t>
      </w:r>
      <w:r>
        <w:tab/>
        <w:t>jednat za účastníka</w:t>
      </w:r>
    </w:p>
    <w:p w:rsidR="00D91706" w:rsidRDefault="00D91706" w:rsidP="00D91706">
      <w:r>
        <w:br w:type="page"/>
      </w:r>
    </w:p>
    <w:p w:rsidR="00655738" w:rsidRDefault="00655738" w:rsidP="00D91706">
      <w:pPr>
        <w:jc w:val="center"/>
        <w:rPr>
          <w:b/>
          <w:sz w:val="28"/>
          <w:szCs w:val="28"/>
        </w:rPr>
      </w:pPr>
    </w:p>
    <w:p w:rsidR="00D91706" w:rsidRDefault="00D91706" w:rsidP="00D91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fyzické osoby (vzor)</w:t>
      </w:r>
    </w:p>
    <w:p w:rsidR="00D91706" w:rsidRDefault="00D91706" w:rsidP="00D91706"/>
    <w:p w:rsidR="00D91706" w:rsidRPr="000355BF" w:rsidRDefault="00D91706" w:rsidP="00D91706">
      <w:pPr>
        <w:rPr>
          <w:b/>
        </w:rPr>
      </w:pPr>
      <w:r w:rsidRPr="000355BF">
        <w:rPr>
          <w:b/>
        </w:rPr>
        <w:t xml:space="preserve">Název veřejné zakázky:  </w:t>
      </w:r>
    </w:p>
    <w:p w:rsidR="00D91706" w:rsidRPr="007025E0" w:rsidRDefault="00D91706" w:rsidP="007025E0">
      <w:pPr>
        <w:jc w:val="both"/>
        <w:rPr>
          <w:b/>
        </w:rPr>
      </w:pPr>
      <w:r w:rsidRPr="007025E0">
        <w:rPr>
          <w:b/>
        </w:rPr>
        <w:t>„</w:t>
      </w:r>
      <w:r w:rsidR="007025E0" w:rsidRPr="007025E0">
        <w:rPr>
          <w:b/>
        </w:rPr>
        <w:t xml:space="preserve">Dodávky plastových sáčků pro standardní balení bankovek </w:t>
      </w:r>
      <w:r w:rsidR="00C54A80">
        <w:rPr>
          <w:b/>
        </w:rPr>
        <w:t xml:space="preserve">a mincí </w:t>
      </w:r>
      <w:r w:rsidR="007025E0" w:rsidRPr="007025E0">
        <w:rPr>
          <w:b/>
        </w:rPr>
        <w:t>v rámci jejich adjustace</w:t>
      </w:r>
      <w:r w:rsidRPr="007025E0">
        <w:rPr>
          <w:b/>
        </w:rPr>
        <w:t>“</w:t>
      </w:r>
    </w:p>
    <w:p w:rsidR="00D91706" w:rsidRDefault="00D91706" w:rsidP="00D91706"/>
    <w:p w:rsidR="00D91706" w:rsidRDefault="00D91706" w:rsidP="00D91706">
      <w:r>
        <w:t>Účastník:</w:t>
      </w:r>
    </w:p>
    <w:p w:rsidR="00D91706" w:rsidRDefault="00D91706" w:rsidP="00D91706"/>
    <w:p w:rsidR="00D91706" w:rsidRDefault="00D91706" w:rsidP="00D91706">
      <w:r>
        <w:t>obchodní firma/jméno a příjmení...……………...……………………….……………………..,</w:t>
      </w:r>
    </w:p>
    <w:p w:rsidR="00D91706" w:rsidRDefault="00D91706" w:rsidP="00D91706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D91706" w:rsidRDefault="00D91706" w:rsidP="00D91706">
      <w:pPr>
        <w:outlineLvl w:val="0"/>
      </w:pPr>
      <w:r>
        <w:t>IČO (bylo-li přiděleno): ………………………………………………………………………..,</w:t>
      </w:r>
    </w:p>
    <w:p w:rsidR="00D91706" w:rsidRDefault="00D91706" w:rsidP="00D91706">
      <w:r>
        <w:t>zapsaný v ………………………….…………………………………………………………….</w:t>
      </w:r>
    </w:p>
    <w:p w:rsidR="00D91706" w:rsidRPr="00616E40" w:rsidRDefault="00D91706" w:rsidP="00D91706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D91706" w:rsidRDefault="00D91706" w:rsidP="00D91706">
      <w:r>
        <w:t>(dále jen „účastník“)</w:t>
      </w:r>
    </w:p>
    <w:p w:rsidR="00D91706" w:rsidRDefault="00D91706" w:rsidP="00D91706"/>
    <w:p w:rsidR="00D91706" w:rsidRDefault="00D91706" w:rsidP="00D91706">
      <w:r>
        <w:t xml:space="preserve">tímto prohlašuje, že není účastníkem, který </w:t>
      </w:r>
    </w:p>
    <w:p w:rsidR="00D91706" w:rsidRDefault="00D91706" w:rsidP="00D91706"/>
    <w:p w:rsidR="00D91706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D91706" w:rsidRDefault="00D91706" w:rsidP="00D91706">
      <w:pPr>
        <w:widowControl w:val="0"/>
        <w:autoSpaceDE w:val="0"/>
        <w:autoSpaceDN w:val="0"/>
        <w:adjustRightInd w:val="0"/>
        <w:ind w:left="720"/>
        <w:jc w:val="both"/>
      </w:pPr>
    </w:p>
    <w:p w:rsidR="005B6303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</w:p>
    <w:p w:rsidR="005B6303" w:rsidRDefault="005B6303" w:rsidP="005B6303">
      <w:pPr>
        <w:pStyle w:val="Odstavecseseznamem"/>
      </w:pPr>
    </w:p>
    <w:p w:rsidR="00D91706" w:rsidRPr="000F27FD" w:rsidRDefault="005B6303" w:rsidP="005B63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 xml:space="preserve"> ve vztahu ke spotřební dani; </w:t>
      </w:r>
      <w:r w:rsidR="00D91706"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D91706" w:rsidRDefault="00D91706" w:rsidP="00D91706">
      <w:pPr>
        <w:widowControl w:val="0"/>
        <w:autoSpaceDE w:val="0"/>
        <w:autoSpaceDN w:val="0"/>
        <w:adjustRightInd w:val="0"/>
      </w:pPr>
    </w:p>
    <w:p w:rsidR="00D91706" w:rsidRDefault="00D91706" w:rsidP="00D91706">
      <w:pPr>
        <w:jc w:val="both"/>
      </w:pPr>
      <w:r>
        <w:t>Dále účastník prohlašuje, že:</w:t>
      </w:r>
    </w:p>
    <w:p w:rsidR="00D91706" w:rsidRDefault="00D91706" w:rsidP="00D91706">
      <w:pPr>
        <w:jc w:val="both"/>
      </w:pPr>
    </w:p>
    <w:p w:rsidR="00C54A80" w:rsidRDefault="00C54A80" w:rsidP="00C54A80">
      <w:pPr>
        <w:pStyle w:val="Odstavecseseznamem"/>
        <w:numPr>
          <w:ilvl w:val="0"/>
          <w:numId w:val="4"/>
        </w:numPr>
        <w:contextualSpacing w:val="0"/>
        <w:jc w:val="both"/>
      </w:pPr>
      <w:r w:rsidRPr="00243C2F">
        <w:t xml:space="preserve">v nabídce nabízené </w:t>
      </w:r>
      <w:r>
        <w:t>plastové sáčky</w:t>
      </w:r>
      <w:r w:rsidRPr="00243C2F">
        <w:t xml:space="preserve"> neobsahují žádné nebezpečné látky a nevykazují žádné vlastnosti ve smyslu čl. 33 nařízení REACH (1907/2006/EC).</w:t>
      </w:r>
    </w:p>
    <w:p w:rsidR="00D91706" w:rsidRPr="00212F14" w:rsidRDefault="00D91706" w:rsidP="00D91706">
      <w:pPr>
        <w:numPr>
          <w:ilvl w:val="0"/>
          <w:numId w:val="4"/>
        </w:numPr>
        <w:jc w:val="both"/>
        <w:rPr>
          <w:rFonts w:eastAsia="MS Mincho"/>
        </w:rPr>
      </w:pPr>
      <w:r w:rsidRPr="00212F14">
        <w:lastRenderedPageBreak/>
        <w:t xml:space="preserve">dle § 77 zákona </w:t>
      </w:r>
      <w:r w:rsidRPr="00314D10">
        <w:rPr>
          <w:b/>
          <w:highlight w:val="yellow"/>
        </w:rPr>
        <w:t>je/není</w:t>
      </w:r>
      <w:r w:rsidRPr="00212F14">
        <w:t xml:space="preserve"> zapsán v obchodním rejstříku </w:t>
      </w:r>
      <w:r w:rsidRPr="00314D10">
        <w:rPr>
          <w:b/>
          <w:i/>
          <w:highlight w:val="yellow"/>
        </w:rPr>
        <w:t>(účastník vybere vhodnou variantu a nehodící se text vypustí)</w:t>
      </w:r>
      <w:r w:rsidR="00757463">
        <w:rPr>
          <w:b/>
          <w:i/>
        </w:rPr>
        <w:t>;</w:t>
      </w:r>
      <w:r w:rsidRPr="00212F14">
        <w:rPr>
          <w:b/>
          <w:i/>
        </w:rPr>
        <w:t xml:space="preserve"> </w:t>
      </w:r>
    </w:p>
    <w:p w:rsidR="00757463" w:rsidRDefault="00757463" w:rsidP="00757463">
      <w:pPr>
        <w:pStyle w:val="Odstavecseseznamem"/>
        <w:numPr>
          <w:ilvl w:val="0"/>
          <w:numId w:val="4"/>
        </w:numPr>
        <w:tabs>
          <w:tab w:val="clear" w:pos="720"/>
          <w:tab w:val="left" w:pos="709"/>
        </w:tabs>
        <w:jc w:val="both"/>
      </w:pPr>
      <w:r w:rsidRPr="007A21F1">
        <w:t xml:space="preserve">dle § 79 odst. 2 písm. b) zákona realizoval </w:t>
      </w:r>
      <w:r w:rsidRPr="00553596">
        <w:t>za poslední 3 roky před zahájením zadávacího řízení</w:t>
      </w:r>
      <w:r>
        <w:t xml:space="preserve"> alespoň 3</w:t>
      </w:r>
      <w:r w:rsidRPr="007A21F1">
        <w:t xml:space="preserve"> významné dodávky. </w:t>
      </w:r>
      <w:r w:rsidRPr="00553596">
        <w:t>Významnou dodávkou se rozumí dodávka obdobná jako je předmět této zakázky</w:t>
      </w:r>
      <w:r>
        <w:t xml:space="preserve"> </w:t>
      </w:r>
      <w:r w:rsidRPr="00073889">
        <w:t>(tj. dodávk</w:t>
      </w:r>
      <w:r>
        <w:t>a</w:t>
      </w:r>
      <w:r w:rsidRPr="00073889">
        <w:t xml:space="preserve"> plastových sáčků</w:t>
      </w:r>
      <w:r>
        <w:t xml:space="preserve"> nebo plastových</w:t>
      </w:r>
      <w:r w:rsidRPr="00073889">
        <w:t xml:space="preserve"> fólií)</w:t>
      </w:r>
      <w:r w:rsidRPr="00553596">
        <w:t xml:space="preserve">, přičemž cena každé této dodávky uvedené na seznamu činí minimálně </w:t>
      </w:r>
      <w:r>
        <w:t>300 </w:t>
      </w:r>
      <w:r w:rsidRPr="00553596">
        <w:t>000,- Kč bez DPH</w:t>
      </w:r>
      <w:r w:rsidR="00C54A80">
        <w:t>.</w:t>
      </w:r>
    </w:p>
    <w:p w:rsidR="00D91706" w:rsidRDefault="00D91706" w:rsidP="00D91706"/>
    <w:p w:rsidR="00C54A80" w:rsidRPr="00745254" w:rsidRDefault="00C54A80" w:rsidP="00C54A80">
      <w:pPr>
        <w:pStyle w:val="Textpsmene"/>
        <w:numPr>
          <w:ilvl w:val="0"/>
          <w:numId w:val="0"/>
        </w:numPr>
        <w:ind w:left="426" w:firstLine="282"/>
        <w:rPr>
          <w:i/>
          <w:highlight w:val="yellow"/>
        </w:rPr>
      </w:pPr>
      <w:r>
        <w:rPr>
          <w:i/>
          <w:highlight w:val="yellow"/>
        </w:rPr>
        <w:t>Účastník</w:t>
      </w:r>
      <w:r w:rsidRPr="00745254">
        <w:rPr>
          <w:i/>
          <w:highlight w:val="yellow"/>
        </w:rPr>
        <w:t xml:space="preserve"> uvede alespoň následující údaje:</w:t>
      </w:r>
    </w:p>
    <w:p w:rsidR="00C54A80" w:rsidRPr="00745254" w:rsidRDefault="00C54A80" w:rsidP="00C54A80">
      <w:pPr>
        <w:pStyle w:val="Textpsmene"/>
        <w:numPr>
          <w:ilvl w:val="0"/>
          <w:numId w:val="0"/>
        </w:numPr>
        <w:tabs>
          <w:tab w:val="left" w:pos="709"/>
        </w:tabs>
        <w:ind w:left="644"/>
        <w:rPr>
          <w:i/>
          <w:highlight w:val="yellow"/>
        </w:rPr>
      </w:pPr>
    </w:p>
    <w:p w:rsidR="00C54A80" w:rsidRPr="00745254" w:rsidRDefault="00C54A80" w:rsidP="00C54A80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>identifikace objednatele,</w:t>
      </w:r>
    </w:p>
    <w:p w:rsidR="00C54A80" w:rsidRPr="00745254" w:rsidRDefault="00C54A80" w:rsidP="00C54A80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předmět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54A80" w:rsidRPr="00745254" w:rsidRDefault="00C54A80" w:rsidP="00C54A80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doba poskytnutí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54A80" w:rsidRPr="00745254" w:rsidRDefault="00C54A80" w:rsidP="00C54A80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cena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>,</w:t>
      </w:r>
    </w:p>
    <w:p w:rsidR="00C54A80" w:rsidRPr="00745254" w:rsidRDefault="00C54A80" w:rsidP="00C54A80">
      <w:pPr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i/>
          <w:highlight w:val="yellow"/>
        </w:rPr>
      </w:pPr>
      <w:r w:rsidRPr="00745254">
        <w:rPr>
          <w:i/>
          <w:highlight w:val="yellow"/>
        </w:rPr>
        <w:t xml:space="preserve">kontaktní osoba objednatele, u které bude možné realizaci významné </w:t>
      </w:r>
      <w:r>
        <w:rPr>
          <w:i/>
          <w:highlight w:val="yellow"/>
        </w:rPr>
        <w:t>dodávky</w:t>
      </w:r>
      <w:r w:rsidRPr="00745254">
        <w:rPr>
          <w:i/>
          <w:highlight w:val="yellow"/>
        </w:rPr>
        <w:t xml:space="preserve"> ověřit.</w:t>
      </w:r>
      <w:r w:rsidRPr="00745254">
        <w:rPr>
          <w:b/>
          <w:i/>
          <w:highlight w:val="yellow"/>
        </w:rPr>
        <w:t xml:space="preserve">  </w:t>
      </w:r>
      <w:r w:rsidRPr="00745254">
        <w:rPr>
          <w:i/>
          <w:highlight w:val="yellow"/>
        </w:rPr>
        <w:t xml:space="preserve"> </w:t>
      </w:r>
    </w:p>
    <w:p w:rsidR="00D91706" w:rsidRDefault="00D91706" w:rsidP="00D91706">
      <w:pPr>
        <w:jc w:val="both"/>
      </w:pPr>
    </w:p>
    <w:p w:rsidR="00D91706" w:rsidRDefault="00D91706" w:rsidP="00D91706"/>
    <w:p w:rsidR="00D91706" w:rsidRDefault="00D91706" w:rsidP="00D91706">
      <w:r>
        <w:t>V …………………. dne ……………….</w:t>
      </w:r>
    </w:p>
    <w:p w:rsidR="00D91706" w:rsidRDefault="00D91706" w:rsidP="00D91706"/>
    <w:p w:rsidR="00D91706" w:rsidRDefault="00D91706" w:rsidP="00D91706">
      <w:r>
        <w:tab/>
      </w:r>
      <w:r>
        <w:tab/>
      </w:r>
      <w:r>
        <w:tab/>
      </w:r>
      <w:r>
        <w:tab/>
      </w:r>
      <w:r>
        <w:tab/>
      </w:r>
    </w:p>
    <w:p w:rsidR="00D91706" w:rsidRDefault="00D91706" w:rsidP="00D91706">
      <w:pPr>
        <w:ind w:left="3540" w:firstLine="855"/>
      </w:pPr>
      <w:r>
        <w:t xml:space="preserve"> ..……………………………………</w:t>
      </w:r>
    </w:p>
    <w:p w:rsidR="00D91706" w:rsidRDefault="00D91706" w:rsidP="00D9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D91706" w:rsidRDefault="00D91706" w:rsidP="00D91706"/>
    <w:p w:rsidR="00D91706" w:rsidRDefault="00D91706" w:rsidP="00D91706">
      <w:pPr>
        <w:jc w:val="both"/>
      </w:pPr>
    </w:p>
    <w:p w:rsidR="00663E7D" w:rsidRDefault="00663E7D"/>
    <w:sectPr w:rsidR="00663E7D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06" w:rsidRDefault="00D91706" w:rsidP="00D91706">
      <w:r>
        <w:separator/>
      </w:r>
    </w:p>
  </w:endnote>
  <w:endnote w:type="continuationSeparator" w:id="0">
    <w:p w:rsidR="00D91706" w:rsidRDefault="00D91706" w:rsidP="00D9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06" w:rsidRDefault="00D91706" w:rsidP="00D91706">
      <w:r>
        <w:separator/>
      </w:r>
    </w:p>
  </w:footnote>
  <w:footnote w:type="continuationSeparator" w:id="0">
    <w:p w:rsidR="00D91706" w:rsidRDefault="00D91706" w:rsidP="00D91706">
      <w:r>
        <w:continuationSeparator/>
      </w:r>
    </w:p>
  </w:footnote>
  <w:footnote w:id="1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128/20016 Sb., o úpadku a způsobech jeho řešení (insolvenční zákon), ve znění pozdějších předpisů</w:t>
      </w:r>
    </w:p>
  </w:footnote>
  <w:footnote w:id="3">
    <w:p w:rsidR="00D91706" w:rsidRPr="005D3C8E" w:rsidRDefault="00D91706" w:rsidP="00D9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D91706" w:rsidRDefault="00D91706" w:rsidP="00D91706">
      <w:pPr>
        <w:pStyle w:val="Textpoznpodarou"/>
      </w:pPr>
    </w:p>
  </w:footnote>
  <w:footnote w:id="4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128/20016 Sb., o úpadku a způsobech jeho řešení (insolvenční zákon), ve znění pozdějších předpisů</w:t>
      </w:r>
    </w:p>
  </w:footnote>
  <w:footnote w:id="6">
    <w:p w:rsidR="00D91706" w:rsidRPr="005D3C8E" w:rsidRDefault="00D91706" w:rsidP="00D9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D91706" w:rsidRDefault="00D91706" w:rsidP="00D9170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B85115" w:rsidP="00655738">
    <w:pPr>
      <w:pStyle w:val="Zhlav"/>
      <w:spacing w:after="240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A62BF">
      <w:rPr>
        <w:b/>
        <w:szCs w:val="28"/>
      </w:rPr>
      <w:t>Příloha</w:t>
    </w:r>
    <w:r w:rsidR="00B70C01" w:rsidRPr="00CA62BF">
      <w:rPr>
        <w:b/>
        <w:szCs w:val="28"/>
      </w:rPr>
      <w:t xml:space="preserve"> č. </w:t>
    </w:r>
    <w:r w:rsidR="00CA62BF" w:rsidRPr="00CA62BF">
      <w:rPr>
        <w:b/>
        <w:szCs w:val="28"/>
      </w:rPr>
      <w:t>4</w:t>
    </w:r>
    <w:r w:rsidR="004047EC" w:rsidRPr="00CA62BF">
      <w:rPr>
        <w:b/>
        <w:szCs w:val="28"/>
      </w:rPr>
      <w:t xml:space="preserve"> </w:t>
    </w:r>
    <w:r w:rsidR="00CA62BF">
      <w:rPr>
        <w:b/>
        <w:szCs w:val="28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57"/>
    <w:multiLevelType w:val="hybridMultilevel"/>
    <w:tmpl w:val="DB76CE1A"/>
    <w:lvl w:ilvl="0" w:tplc="562EBB1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83609"/>
    <w:multiLevelType w:val="hybridMultilevel"/>
    <w:tmpl w:val="67768D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6"/>
    <w:rsid w:val="002012DA"/>
    <w:rsid w:val="00210EB5"/>
    <w:rsid w:val="00212F14"/>
    <w:rsid w:val="00226C3F"/>
    <w:rsid w:val="00241BD7"/>
    <w:rsid w:val="00314D10"/>
    <w:rsid w:val="003A0219"/>
    <w:rsid w:val="003C77D0"/>
    <w:rsid w:val="004047EC"/>
    <w:rsid w:val="005A59C9"/>
    <w:rsid w:val="005B6303"/>
    <w:rsid w:val="00635799"/>
    <w:rsid w:val="00655738"/>
    <w:rsid w:val="00663E7D"/>
    <w:rsid w:val="006A229C"/>
    <w:rsid w:val="007025E0"/>
    <w:rsid w:val="00751AAD"/>
    <w:rsid w:val="00757463"/>
    <w:rsid w:val="007A21F1"/>
    <w:rsid w:val="007E051E"/>
    <w:rsid w:val="007F3AF8"/>
    <w:rsid w:val="008B503E"/>
    <w:rsid w:val="009F1CC9"/>
    <w:rsid w:val="00A33D70"/>
    <w:rsid w:val="00A42D8B"/>
    <w:rsid w:val="00AD628C"/>
    <w:rsid w:val="00B70C01"/>
    <w:rsid w:val="00B85115"/>
    <w:rsid w:val="00BE0803"/>
    <w:rsid w:val="00C54A80"/>
    <w:rsid w:val="00C83B75"/>
    <w:rsid w:val="00CA23A5"/>
    <w:rsid w:val="00CA62BF"/>
    <w:rsid w:val="00D91706"/>
    <w:rsid w:val="00DB607B"/>
    <w:rsid w:val="00DF109B"/>
    <w:rsid w:val="00E04899"/>
    <w:rsid w:val="00E33215"/>
    <w:rsid w:val="00E464DF"/>
    <w:rsid w:val="00E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1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17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917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17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91706"/>
    <w:rPr>
      <w:vertAlign w:val="superscript"/>
    </w:rPr>
  </w:style>
  <w:style w:type="character" w:styleId="Odkaznakoment">
    <w:name w:val="annotation reference"/>
    <w:semiHidden/>
    <w:rsid w:val="00E464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64DF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64D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4D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79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7CE8"/>
    <w:pPr>
      <w:ind w:left="720"/>
      <w:contextualSpacing/>
    </w:pPr>
  </w:style>
  <w:style w:type="paragraph" w:customStyle="1" w:styleId="Textpsmene">
    <w:name w:val="Text písmene"/>
    <w:basedOn w:val="Normln"/>
    <w:rsid w:val="007F3AF8"/>
    <w:pPr>
      <w:numPr>
        <w:ilvl w:val="1"/>
        <w:numId w:val="7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F3AF8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1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17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917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17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91706"/>
    <w:rPr>
      <w:vertAlign w:val="superscript"/>
    </w:rPr>
  </w:style>
  <w:style w:type="character" w:styleId="Odkaznakoment">
    <w:name w:val="annotation reference"/>
    <w:semiHidden/>
    <w:rsid w:val="00E464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64DF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64D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4D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79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7CE8"/>
    <w:pPr>
      <w:ind w:left="720"/>
      <w:contextualSpacing/>
    </w:pPr>
  </w:style>
  <w:style w:type="paragraph" w:customStyle="1" w:styleId="Textpsmene">
    <w:name w:val="Text písmene"/>
    <w:basedOn w:val="Normln"/>
    <w:rsid w:val="007F3AF8"/>
    <w:pPr>
      <w:numPr>
        <w:ilvl w:val="1"/>
        <w:numId w:val="7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F3AF8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Dyluš Vojtěch</cp:lastModifiedBy>
  <cp:revision>3</cp:revision>
  <dcterms:created xsi:type="dcterms:W3CDTF">2018-04-24T13:08:00Z</dcterms:created>
  <dcterms:modified xsi:type="dcterms:W3CDTF">2018-05-16T13:35:00Z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517019337</vt:i4>
  </property>
  <property fmtid="{D5CDD505-2E9C-101B-9397-08002B2CF9AE}" pid="3" name="_NewReviewCycle">
    <vt:lpwstr/>
  </property>
  <property fmtid="{D5CDD505-2E9C-101B-9397-08002B2CF9AE}" pid="4" name="_EmailSubject">
    <vt:lpwstr>"Dodávky plastových sáčků pro standardní balení bankovek a mincí v rámci jejich adjustace" - Návrh ZD  </vt:lpwstr>
  </property>
  <property fmtid="{D5CDD505-2E9C-101B-9397-08002B2CF9AE}" pid="5" name="_AuthorEmail">
    <vt:lpwstr>Pavel.Rulik@cnb.cz</vt:lpwstr>
  </property>
  <property fmtid="{D5CDD505-2E9C-101B-9397-08002B2CF9AE}" pid="6" name="_AuthorEmailDisplayName">
    <vt:lpwstr>Rulík Pavel</vt:lpwstr>
  </property>
  <property fmtid="{D5CDD505-2E9C-101B-9397-08002B2CF9AE}" pid="7" name="_PreviousAdHocReviewCycleID">
    <vt:i4>-1457506313</vt:i4>
  </property>
  <property fmtid="{D5CDD505-2E9C-101B-9397-08002B2CF9AE}" pid="8" name="_ReviewingToolsShownOnce">
    <vt:lpwstr/>
  </property>
</Properties>
</file>