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5E" w:rsidRPr="004C7A98" w:rsidRDefault="002C035E" w:rsidP="002C035E">
      <w:pPr>
        <w:pStyle w:val="Zhlav"/>
        <w:jc w:val="center"/>
        <w:rPr>
          <w:b/>
        </w:rPr>
      </w:pPr>
      <w:r w:rsidRPr="004C7A98">
        <w:rPr>
          <w:b/>
        </w:rPr>
        <w:t xml:space="preserve">Příloha č. 1 </w:t>
      </w:r>
    </w:p>
    <w:p w:rsidR="002C035E" w:rsidRPr="004C7A98" w:rsidRDefault="002C035E" w:rsidP="002C035E">
      <w:pPr>
        <w:pStyle w:val="Zhlav"/>
        <w:jc w:val="center"/>
        <w:rPr>
          <w:b/>
        </w:rPr>
      </w:pPr>
      <w:r w:rsidRPr="004C7A98">
        <w:rPr>
          <w:b/>
        </w:rPr>
        <w:t>Hodnocení nabídek v poptávce „Vánoční setkání zaměstnanců ČNB 202</w:t>
      </w:r>
      <w:r w:rsidR="003D0855">
        <w:rPr>
          <w:b/>
        </w:rPr>
        <w:t>5</w:t>
      </w:r>
      <w:r w:rsidRPr="004C7A98">
        <w:rPr>
          <w:b/>
        </w:rPr>
        <w:t>“</w:t>
      </w:r>
    </w:p>
    <w:p w:rsidR="002C035E" w:rsidRDefault="002C035E" w:rsidP="002C035E">
      <w:pPr>
        <w:pStyle w:val="Zhlav"/>
        <w:jc w:val="center"/>
      </w:pPr>
      <w:r w:rsidRPr="004C7A98">
        <w:t>dle dílčího hodnotícího kritéria „Úroveň a kvalita nabízených služeb“</w:t>
      </w:r>
    </w:p>
    <w:tbl>
      <w:tblPr>
        <w:tblpPr w:leftFromText="141" w:rightFromText="141" w:vertAnchor="text" w:horzAnchor="margin" w:tblpX="-582" w:tblpY="268"/>
        <w:tblW w:w="14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806"/>
        <w:gridCol w:w="806"/>
        <w:gridCol w:w="807"/>
        <w:gridCol w:w="806"/>
        <w:gridCol w:w="807"/>
        <w:gridCol w:w="1080"/>
        <w:gridCol w:w="7380"/>
      </w:tblGrid>
      <w:tr w:rsidR="004C7A98" w:rsidRPr="00F74CA9" w:rsidTr="004C7A98">
        <w:trPr>
          <w:trHeight w:val="504"/>
        </w:trPr>
        <w:tc>
          <w:tcPr>
            <w:tcW w:w="2310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Hodnocená nabídka</w:t>
            </w:r>
          </w:p>
        </w:tc>
        <w:tc>
          <w:tcPr>
            <w:tcW w:w="4032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Zařazení do bodové skupiny dle poptávky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Přidělené body</w:t>
            </w:r>
          </w:p>
        </w:tc>
        <w:tc>
          <w:tcPr>
            <w:tcW w:w="738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Zdůvodnění</w:t>
            </w:r>
          </w:p>
        </w:tc>
      </w:tr>
      <w:tr w:rsidR="004C7A98" w:rsidRPr="00F74CA9" w:rsidTr="004C7A98">
        <w:trPr>
          <w:trHeight w:val="504"/>
        </w:trPr>
        <w:tc>
          <w:tcPr>
            <w:tcW w:w="23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100-90</w:t>
            </w:r>
          </w:p>
        </w:tc>
        <w:tc>
          <w:tcPr>
            <w:tcW w:w="8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89-60</w:t>
            </w:r>
          </w:p>
        </w:tc>
        <w:tc>
          <w:tcPr>
            <w:tcW w:w="8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59-30</w:t>
            </w:r>
          </w:p>
        </w:tc>
        <w:tc>
          <w:tcPr>
            <w:tcW w:w="8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29-10</w:t>
            </w:r>
          </w:p>
        </w:tc>
        <w:tc>
          <w:tcPr>
            <w:tcW w:w="80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10-1</w:t>
            </w: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</w:tr>
      <w:tr w:rsidR="004C7A98" w:rsidRPr="00F74CA9" w:rsidTr="004C7A98">
        <w:trPr>
          <w:trHeight w:val="1471"/>
        </w:trPr>
        <w:tc>
          <w:tcPr>
            <w:tcW w:w="23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A5270E" w:rsidP="004C7A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Vyšehrad 2000 a.s.</w:t>
            </w:r>
          </w:p>
          <w:p w:rsidR="004C7A98" w:rsidRPr="00F74CA9" w:rsidRDefault="004C7A98" w:rsidP="004C7A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3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E41372">
            <w:pPr>
              <w:jc w:val="both"/>
              <w:rPr>
                <w:sz w:val="20"/>
                <w:szCs w:val="20"/>
              </w:rPr>
            </w:pPr>
            <w:r w:rsidRPr="00F74CA9">
              <w:rPr>
                <w:sz w:val="20"/>
                <w:szCs w:val="20"/>
              </w:rPr>
              <w:t xml:space="preserve">Nabídka dodavatele zcela splňuje požadavky zadavatele na strukturu a kvalitu nabízeného menu. Bohatá a rozmanitá nabídka </w:t>
            </w:r>
            <w:r w:rsidR="00A5270E">
              <w:rPr>
                <w:sz w:val="20"/>
                <w:szCs w:val="20"/>
              </w:rPr>
              <w:t>teplé</w:t>
            </w:r>
            <w:r w:rsidRPr="00F74CA9">
              <w:rPr>
                <w:sz w:val="20"/>
                <w:szCs w:val="20"/>
              </w:rPr>
              <w:t xml:space="preserve"> kuchyně (nejširší a nejzajímavější</w:t>
            </w:r>
            <w:r>
              <w:rPr>
                <w:sz w:val="20"/>
                <w:szCs w:val="20"/>
              </w:rPr>
              <w:t xml:space="preserve"> nabídka ze všech)</w:t>
            </w:r>
            <w:r w:rsidRPr="00F74CA9">
              <w:rPr>
                <w:sz w:val="20"/>
                <w:szCs w:val="20"/>
              </w:rPr>
              <w:t xml:space="preserve"> a rovněž</w:t>
            </w:r>
            <w:r>
              <w:rPr>
                <w:sz w:val="20"/>
                <w:szCs w:val="20"/>
              </w:rPr>
              <w:t xml:space="preserve"> je předložena roz</w:t>
            </w:r>
            <w:r w:rsidRPr="00F74CA9">
              <w:rPr>
                <w:sz w:val="20"/>
                <w:szCs w:val="20"/>
              </w:rPr>
              <w:t xml:space="preserve">manitá nabídka </w:t>
            </w:r>
            <w:r w:rsidR="00A5270E">
              <w:rPr>
                <w:sz w:val="20"/>
                <w:szCs w:val="20"/>
              </w:rPr>
              <w:t>studeného</w:t>
            </w:r>
            <w:r w:rsidRPr="00F74CA9">
              <w:rPr>
                <w:sz w:val="20"/>
                <w:szCs w:val="20"/>
              </w:rPr>
              <w:t xml:space="preserve"> občerstvení. Je </w:t>
            </w:r>
            <w:r>
              <w:rPr>
                <w:sz w:val="20"/>
                <w:szCs w:val="20"/>
              </w:rPr>
              <w:t xml:space="preserve">zcela </w:t>
            </w:r>
            <w:r w:rsidRPr="00F74CA9">
              <w:rPr>
                <w:sz w:val="20"/>
                <w:szCs w:val="20"/>
              </w:rPr>
              <w:t>naplněno pojetí akce. Dodavatel rovněž ve své nabídce předkládá přehledné organizační zajištění celého průběhu akce, ze kterého je zřejmé kvalitní zajištění průběhu akce. </w:t>
            </w:r>
            <w:r w:rsidR="00E41372">
              <w:rPr>
                <w:sz w:val="20"/>
                <w:szCs w:val="20"/>
              </w:rPr>
              <w:t>J</w:t>
            </w:r>
            <w:r w:rsidRPr="00F74CA9">
              <w:rPr>
                <w:sz w:val="20"/>
                <w:szCs w:val="20"/>
              </w:rPr>
              <w:t>e nabízena bohatá vánoční výzdo</w:t>
            </w:r>
            <w:r w:rsidR="00E41372">
              <w:rPr>
                <w:sz w:val="20"/>
                <w:szCs w:val="20"/>
              </w:rPr>
              <w:t>ba</w:t>
            </w:r>
            <w:r w:rsidRPr="00F74CA9">
              <w:rPr>
                <w:sz w:val="20"/>
                <w:szCs w:val="20"/>
              </w:rPr>
              <w:t>.</w:t>
            </w:r>
          </w:p>
        </w:tc>
      </w:tr>
      <w:tr w:rsidR="004C7A98" w:rsidRPr="00F74CA9" w:rsidTr="004C7A98">
        <w:trPr>
          <w:trHeight w:val="1075"/>
        </w:trPr>
        <w:tc>
          <w:tcPr>
            <w:tcW w:w="23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9F3F12" w:rsidP="004C7A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Rostoo</w:t>
            </w:r>
            <w:proofErr w:type="spellEnd"/>
            <w:r w:rsidR="004C7A98" w:rsidRPr="00F74CA9">
              <w:rPr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9F3F12" w:rsidP="004C7A98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73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A98" w:rsidRPr="00F74CA9" w:rsidRDefault="004C7A98" w:rsidP="00E41372">
            <w:pPr>
              <w:jc w:val="both"/>
              <w:rPr>
                <w:sz w:val="20"/>
                <w:szCs w:val="20"/>
              </w:rPr>
            </w:pPr>
            <w:r w:rsidRPr="00F74CA9">
              <w:rPr>
                <w:sz w:val="20"/>
                <w:szCs w:val="20"/>
              </w:rPr>
              <w:t xml:space="preserve">Nabídka dodavatele má drobné nedostatky ve struktuře/kvalitě nabízeného menu. Nabídka </w:t>
            </w:r>
            <w:r>
              <w:rPr>
                <w:sz w:val="20"/>
                <w:szCs w:val="20"/>
              </w:rPr>
              <w:t xml:space="preserve"> t</w:t>
            </w:r>
            <w:r w:rsidRPr="00F74CA9">
              <w:rPr>
                <w:sz w:val="20"/>
                <w:szCs w:val="20"/>
              </w:rPr>
              <w:t>ep</w:t>
            </w:r>
            <w:r>
              <w:rPr>
                <w:sz w:val="20"/>
                <w:szCs w:val="20"/>
              </w:rPr>
              <w:t>lého</w:t>
            </w:r>
            <w:r w:rsidR="00EF3965">
              <w:rPr>
                <w:sz w:val="20"/>
                <w:szCs w:val="20"/>
              </w:rPr>
              <w:t xml:space="preserve"> </w:t>
            </w:r>
            <w:r w:rsidR="00EB3EB3">
              <w:rPr>
                <w:sz w:val="20"/>
                <w:szCs w:val="20"/>
              </w:rPr>
              <w:t>občerstvení</w:t>
            </w:r>
            <w:r w:rsidR="00EF3965">
              <w:rPr>
                <w:sz w:val="20"/>
                <w:szCs w:val="20"/>
              </w:rPr>
              <w:t xml:space="preserve"> </w:t>
            </w:r>
            <w:r w:rsidR="00EB3EB3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dezertů</w:t>
            </w:r>
            <w:r w:rsidRPr="00F74CA9">
              <w:rPr>
                <w:sz w:val="20"/>
                <w:szCs w:val="20"/>
              </w:rPr>
              <w:t xml:space="preserve"> není </w:t>
            </w:r>
            <w:r w:rsidR="00E41372">
              <w:rPr>
                <w:sz w:val="20"/>
                <w:szCs w:val="20"/>
              </w:rPr>
              <w:t>příliš</w:t>
            </w:r>
            <w:r w:rsidR="00EB3EB3">
              <w:rPr>
                <w:sz w:val="20"/>
                <w:szCs w:val="20"/>
              </w:rPr>
              <w:t xml:space="preserve"> zajímavá</w:t>
            </w:r>
            <w:r w:rsidRPr="00F74CA9">
              <w:rPr>
                <w:sz w:val="20"/>
                <w:szCs w:val="20"/>
              </w:rPr>
              <w:t>.</w:t>
            </w:r>
            <w:r w:rsidR="00EB3EB3">
              <w:rPr>
                <w:sz w:val="20"/>
                <w:szCs w:val="20"/>
              </w:rPr>
              <w:t xml:space="preserve"> Nabídky dále vykazuje nedostatky v organizačním zajištění akce, </w:t>
            </w:r>
            <w:r w:rsidR="00EF3965">
              <w:rPr>
                <w:sz w:val="20"/>
                <w:szCs w:val="20"/>
              </w:rPr>
              <w:t xml:space="preserve">není uvedeno využití jídelny pro akci. </w:t>
            </w:r>
            <w:r w:rsidR="00E41372">
              <w:rPr>
                <w:sz w:val="20"/>
                <w:szCs w:val="20"/>
              </w:rPr>
              <w:t>J</w:t>
            </w:r>
            <w:r w:rsidR="00E41372" w:rsidRPr="00F74CA9">
              <w:rPr>
                <w:sz w:val="20"/>
                <w:szCs w:val="20"/>
              </w:rPr>
              <w:t>e nabízena bohatá vánoční výzdo</w:t>
            </w:r>
            <w:r w:rsidR="00E41372">
              <w:rPr>
                <w:sz w:val="20"/>
                <w:szCs w:val="20"/>
              </w:rPr>
              <w:t>ba</w:t>
            </w:r>
            <w:r w:rsidR="00E41372" w:rsidRPr="00F74CA9">
              <w:rPr>
                <w:sz w:val="20"/>
                <w:szCs w:val="20"/>
              </w:rPr>
              <w:t>.</w:t>
            </w:r>
          </w:p>
        </w:tc>
      </w:tr>
      <w:tr w:rsidR="00EF3965" w:rsidRPr="00F74CA9" w:rsidTr="009A5FDB">
        <w:trPr>
          <w:trHeight w:val="880"/>
        </w:trPr>
        <w:tc>
          <w:tcPr>
            <w:tcW w:w="23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3965" w:rsidRPr="00F74CA9" w:rsidRDefault="00EF3965" w:rsidP="005A3DF1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CATERING</w:t>
            </w:r>
            <w:r w:rsidRPr="00F74CA9">
              <w:rPr>
                <w:b/>
                <w:bCs/>
                <w:sz w:val="20"/>
                <w:szCs w:val="20"/>
              </w:rPr>
              <w:t xml:space="preserve"> s.r.o.</w:t>
            </w:r>
          </w:p>
          <w:p w:rsidR="00EF3965" w:rsidRPr="00F74CA9" w:rsidRDefault="00EF3965" w:rsidP="00EF39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 w:rsidRPr="00F74CA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965" w:rsidRPr="00F74CA9" w:rsidRDefault="005B2CF2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834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965" w:rsidRPr="00F74CA9" w:rsidRDefault="00EF3965" w:rsidP="00841096">
            <w:pPr>
              <w:jc w:val="both"/>
              <w:rPr>
                <w:sz w:val="20"/>
                <w:szCs w:val="20"/>
              </w:rPr>
            </w:pPr>
            <w:r w:rsidRPr="00F74CA9">
              <w:rPr>
                <w:sz w:val="20"/>
                <w:szCs w:val="20"/>
              </w:rPr>
              <w:t>Nabídka dodavatele má drobné nedostatky ve struktuře/kvalitě nabízeného menu</w:t>
            </w:r>
            <w:r>
              <w:rPr>
                <w:sz w:val="20"/>
                <w:szCs w:val="20"/>
              </w:rPr>
              <w:t>. Nabídka  teplého občerstvení</w:t>
            </w:r>
            <w:r w:rsidR="00841096">
              <w:rPr>
                <w:sz w:val="20"/>
                <w:szCs w:val="20"/>
              </w:rPr>
              <w:t xml:space="preserve">, live </w:t>
            </w:r>
            <w:proofErr w:type="spellStart"/>
            <w:r w:rsidR="00841096">
              <w:rPr>
                <w:sz w:val="20"/>
                <w:szCs w:val="20"/>
              </w:rPr>
              <w:t>cooking</w:t>
            </w:r>
            <w:proofErr w:type="spellEnd"/>
            <w:r w:rsidR="00841096">
              <w:rPr>
                <w:sz w:val="20"/>
                <w:szCs w:val="20"/>
              </w:rPr>
              <w:t xml:space="preserve"> show</w:t>
            </w:r>
            <w:r>
              <w:rPr>
                <w:sz w:val="20"/>
                <w:szCs w:val="20"/>
              </w:rPr>
              <w:t xml:space="preserve"> a dezer</w:t>
            </w:r>
            <w:r w:rsidR="00841096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ů</w:t>
            </w:r>
            <w:r w:rsidR="008410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není rozmanitá</w:t>
            </w:r>
            <w:r w:rsidR="00841096">
              <w:rPr>
                <w:sz w:val="20"/>
                <w:szCs w:val="20"/>
              </w:rPr>
              <w:t xml:space="preserve"> (je </w:t>
            </w:r>
            <w:r>
              <w:rPr>
                <w:sz w:val="20"/>
                <w:szCs w:val="20"/>
              </w:rPr>
              <w:t>spíše průměrná</w:t>
            </w:r>
            <w:r w:rsidR="0084109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 Organizační zajištění akce</w:t>
            </w:r>
            <w:r w:rsidR="00841096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</w:t>
            </w:r>
            <w:r w:rsidR="00841096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abídka vánoční výzdoby j</w:t>
            </w:r>
            <w:r w:rsidR="00841096">
              <w:rPr>
                <w:sz w:val="20"/>
                <w:szCs w:val="20"/>
              </w:rPr>
              <w:t>sou</w:t>
            </w:r>
            <w:r>
              <w:rPr>
                <w:sz w:val="20"/>
                <w:szCs w:val="20"/>
              </w:rPr>
              <w:t> dostatečn</w:t>
            </w:r>
            <w:r w:rsidR="0084109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.</w:t>
            </w:r>
            <w:r w:rsidRPr="00F74CA9">
              <w:rPr>
                <w:sz w:val="20"/>
                <w:szCs w:val="20"/>
              </w:rPr>
              <w:t xml:space="preserve"> </w:t>
            </w:r>
          </w:p>
        </w:tc>
      </w:tr>
      <w:tr w:rsidR="00EF3965" w:rsidRPr="00F74CA9" w:rsidTr="004C7A98">
        <w:trPr>
          <w:trHeight w:val="997"/>
        </w:trPr>
        <w:tc>
          <w:tcPr>
            <w:tcW w:w="23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3965" w:rsidRPr="00F74CA9" w:rsidRDefault="00841096" w:rsidP="00EF3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Zátiší Catering </w:t>
            </w:r>
            <w:proofErr w:type="spellStart"/>
            <w:r>
              <w:rPr>
                <w:b/>
                <w:bCs/>
                <w:sz w:val="20"/>
                <w:szCs w:val="20"/>
              </w:rPr>
              <w:t>group</w:t>
            </w:r>
            <w:proofErr w:type="spellEnd"/>
            <w:r>
              <w:rPr>
                <w:b/>
                <w:bCs/>
                <w:sz w:val="20"/>
                <w:szCs w:val="20"/>
              </w:rPr>
              <w:t>, a.s.</w:t>
            </w:r>
          </w:p>
          <w:p w:rsidR="00EF3965" w:rsidRPr="00F74CA9" w:rsidRDefault="00EF3965" w:rsidP="00EF39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3965" w:rsidRPr="00F74CA9" w:rsidRDefault="00EF3965" w:rsidP="00EF3965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965" w:rsidRPr="00F74CA9" w:rsidRDefault="009E162E" w:rsidP="009E162E">
            <w:pPr>
              <w:spacing w:before="60" w:afterLines="60" w:after="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3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965" w:rsidRPr="00F74CA9" w:rsidRDefault="00841096" w:rsidP="00976435">
            <w:pPr>
              <w:jc w:val="both"/>
              <w:rPr>
                <w:sz w:val="20"/>
                <w:szCs w:val="20"/>
              </w:rPr>
            </w:pPr>
            <w:r w:rsidRPr="00F74CA9">
              <w:rPr>
                <w:sz w:val="20"/>
                <w:szCs w:val="20"/>
              </w:rPr>
              <w:t>Nabídka dodavatele má drobné nedostatky ve struktuře/kvalitě nabízeného menu</w:t>
            </w:r>
            <w:r>
              <w:rPr>
                <w:sz w:val="20"/>
                <w:szCs w:val="20"/>
              </w:rPr>
              <w:t>. Nabídka  teplého občerstvení</w:t>
            </w:r>
            <w:r w:rsidR="00E41372">
              <w:rPr>
                <w:sz w:val="20"/>
                <w:szCs w:val="20"/>
              </w:rPr>
              <w:t xml:space="preserve">, live </w:t>
            </w:r>
            <w:proofErr w:type="spellStart"/>
            <w:r w:rsidR="00E41372">
              <w:rPr>
                <w:sz w:val="20"/>
                <w:szCs w:val="20"/>
              </w:rPr>
              <w:t>cooking</w:t>
            </w:r>
            <w:proofErr w:type="spellEnd"/>
            <w:r w:rsidR="00E41372">
              <w:rPr>
                <w:sz w:val="20"/>
                <w:szCs w:val="20"/>
              </w:rPr>
              <w:t xml:space="preserve"> show</w:t>
            </w:r>
            <w:r>
              <w:rPr>
                <w:sz w:val="20"/>
                <w:szCs w:val="20"/>
              </w:rPr>
              <w:t xml:space="preserve"> a dezertů není rozmanitá (je spíše průměrná).</w:t>
            </w:r>
            <w:r w:rsidR="00EF3965">
              <w:rPr>
                <w:sz w:val="20"/>
                <w:szCs w:val="20"/>
              </w:rPr>
              <w:t xml:space="preserve"> </w:t>
            </w:r>
            <w:r w:rsidR="007F0748">
              <w:rPr>
                <w:sz w:val="20"/>
                <w:szCs w:val="20"/>
              </w:rPr>
              <w:t xml:space="preserve">Nabídka </w:t>
            </w:r>
            <w:r w:rsidR="00531974">
              <w:rPr>
                <w:sz w:val="20"/>
                <w:szCs w:val="20"/>
              </w:rPr>
              <w:t>vykazuje nedostatky</w:t>
            </w:r>
            <w:r w:rsidR="00976435">
              <w:rPr>
                <w:sz w:val="20"/>
                <w:szCs w:val="20"/>
              </w:rPr>
              <w:t xml:space="preserve"> -</w:t>
            </w:r>
            <w:r w:rsidR="00531974">
              <w:rPr>
                <w:sz w:val="20"/>
                <w:szCs w:val="20"/>
              </w:rPr>
              <w:t xml:space="preserve"> vánoční výzdoba není</w:t>
            </w:r>
            <w:r w:rsidR="007F0748">
              <w:rPr>
                <w:sz w:val="20"/>
                <w:szCs w:val="20"/>
              </w:rPr>
              <w:t xml:space="preserve"> součástí nabídky, pouze základní dekorace na rautové stoly.</w:t>
            </w:r>
          </w:p>
        </w:tc>
      </w:tr>
    </w:tbl>
    <w:p w:rsidR="004C7A98" w:rsidRDefault="004C7A98" w:rsidP="002C035E">
      <w:pPr>
        <w:pStyle w:val="Zhlav"/>
        <w:jc w:val="center"/>
      </w:pPr>
    </w:p>
    <w:p w:rsidR="00C356C3" w:rsidRPr="000B689B" w:rsidRDefault="00C356C3" w:rsidP="00E24334">
      <w:pPr>
        <w:ind w:left="-567"/>
      </w:pPr>
      <w:bookmarkStart w:id="0" w:name="_GoBack"/>
      <w:bookmarkEnd w:id="0"/>
    </w:p>
    <w:sectPr w:rsidR="00C356C3" w:rsidRPr="000B689B" w:rsidSect="00AB3E66">
      <w:footerReference w:type="default" r:id="rId6"/>
      <w:pgSz w:w="16838" w:h="11906" w:orient="landscape"/>
      <w:pgMar w:top="43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69E" w:rsidRDefault="00D4669E">
      <w:r>
        <w:separator/>
      </w:r>
    </w:p>
  </w:endnote>
  <w:endnote w:type="continuationSeparator" w:id="0">
    <w:p w:rsidR="00D4669E" w:rsidRDefault="00D4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523" w:rsidRDefault="00437523" w:rsidP="00BB08C3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7441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7441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69E" w:rsidRDefault="00D4669E">
      <w:r>
        <w:separator/>
      </w:r>
    </w:p>
  </w:footnote>
  <w:footnote w:type="continuationSeparator" w:id="0">
    <w:p w:rsidR="00D4669E" w:rsidRDefault="00D4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D8"/>
    <w:rsid w:val="00006FDA"/>
    <w:rsid w:val="00036B4E"/>
    <w:rsid w:val="00092BAA"/>
    <w:rsid w:val="000B689B"/>
    <w:rsid w:val="000C155E"/>
    <w:rsid w:val="000D6835"/>
    <w:rsid w:val="000D729C"/>
    <w:rsid w:val="000E03D2"/>
    <w:rsid w:val="000E12DC"/>
    <w:rsid w:val="000F5D6B"/>
    <w:rsid w:val="000F648B"/>
    <w:rsid w:val="0010575B"/>
    <w:rsid w:val="00105BB2"/>
    <w:rsid w:val="00113CCA"/>
    <w:rsid w:val="0012181B"/>
    <w:rsid w:val="00137506"/>
    <w:rsid w:val="00147446"/>
    <w:rsid w:val="00156B47"/>
    <w:rsid w:val="001643C0"/>
    <w:rsid w:val="001715CB"/>
    <w:rsid w:val="001A4B22"/>
    <w:rsid w:val="001A7E20"/>
    <w:rsid w:val="001B4C5D"/>
    <w:rsid w:val="001B6499"/>
    <w:rsid w:val="001C2DDB"/>
    <w:rsid w:val="001F2A95"/>
    <w:rsid w:val="001F6772"/>
    <w:rsid w:val="00202EF5"/>
    <w:rsid w:val="00204DE8"/>
    <w:rsid w:val="00226927"/>
    <w:rsid w:val="00226D6B"/>
    <w:rsid w:val="00260188"/>
    <w:rsid w:val="002678FA"/>
    <w:rsid w:val="0027111A"/>
    <w:rsid w:val="00285B08"/>
    <w:rsid w:val="002A68A2"/>
    <w:rsid w:val="002C035E"/>
    <w:rsid w:val="002E3CB9"/>
    <w:rsid w:val="002F1474"/>
    <w:rsid w:val="002F7452"/>
    <w:rsid w:val="002F783B"/>
    <w:rsid w:val="00326835"/>
    <w:rsid w:val="0036026B"/>
    <w:rsid w:val="00397A28"/>
    <w:rsid w:val="00397C09"/>
    <w:rsid w:val="003A331E"/>
    <w:rsid w:val="003B4B3C"/>
    <w:rsid w:val="003D0855"/>
    <w:rsid w:val="00437523"/>
    <w:rsid w:val="004701F9"/>
    <w:rsid w:val="004729D6"/>
    <w:rsid w:val="004C437C"/>
    <w:rsid w:val="004C7A98"/>
    <w:rsid w:val="00527725"/>
    <w:rsid w:val="00531974"/>
    <w:rsid w:val="005341CF"/>
    <w:rsid w:val="0054075D"/>
    <w:rsid w:val="00542608"/>
    <w:rsid w:val="00584958"/>
    <w:rsid w:val="005A3DF1"/>
    <w:rsid w:val="005A58FD"/>
    <w:rsid w:val="005B1C94"/>
    <w:rsid w:val="005B2CF2"/>
    <w:rsid w:val="005B51EB"/>
    <w:rsid w:val="005F7CC0"/>
    <w:rsid w:val="00612E41"/>
    <w:rsid w:val="00614A90"/>
    <w:rsid w:val="0062025A"/>
    <w:rsid w:val="006314D2"/>
    <w:rsid w:val="00635E24"/>
    <w:rsid w:val="00655C65"/>
    <w:rsid w:val="00672113"/>
    <w:rsid w:val="00691B73"/>
    <w:rsid w:val="00693E71"/>
    <w:rsid w:val="006A1C1D"/>
    <w:rsid w:val="006A577B"/>
    <w:rsid w:val="006B0EF1"/>
    <w:rsid w:val="006B0FBB"/>
    <w:rsid w:val="006B2AC1"/>
    <w:rsid w:val="006C2E35"/>
    <w:rsid w:val="00707BDA"/>
    <w:rsid w:val="007227C7"/>
    <w:rsid w:val="00757AC7"/>
    <w:rsid w:val="00786983"/>
    <w:rsid w:val="007D4B6F"/>
    <w:rsid w:val="007E22F9"/>
    <w:rsid w:val="007F0748"/>
    <w:rsid w:val="00807177"/>
    <w:rsid w:val="00822009"/>
    <w:rsid w:val="0082351B"/>
    <w:rsid w:val="0082567A"/>
    <w:rsid w:val="00825A42"/>
    <w:rsid w:val="00841096"/>
    <w:rsid w:val="008421B2"/>
    <w:rsid w:val="00864080"/>
    <w:rsid w:val="0087517F"/>
    <w:rsid w:val="00876C30"/>
    <w:rsid w:val="00897483"/>
    <w:rsid w:val="008A0F88"/>
    <w:rsid w:val="008C5A34"/>
    <w:rsid w:val="008E0BFB"/>
    <w:rsid w:val="008F28F1"/>
    <w:rsid w:val="00913363"/>
    <w:rsid w:val="00917F86"/>
    <w:rsid w:val="009341D4"/>
    <w:rsid w:val="00935DDA"/>
    <w:rsid w:val="00955583"/>
    <w:rsid w:val="0097312E"/>
    <w:rsid w:val="00976435"/>
    <w:rsid w:val="00981781"/>
    <w:rsid w:val="009A5FDB"/>
    <w:rsid w:val="009D038C"/>
    <w:rsid w:val="009E162E"/>
    <w:rsid w:val="009E594E"/>
    <w:rsid w:val="009F3F12"/>
    <w:rsid w:val="00A475F6"/>
    <w:rsid w:val="00A5270E"/>
    <w:rsid w:val="00A656FC"/>
    <w:rsid w:val="00A71DD3"/>
    <w:rsid w:val="00A7215B"/>
    <w:rsid w:val="00AA1A45"/>
    <w:rsid w:val="00AB3E66"/>
    <w:rsid w:val="00AC7B1F"/>
    <w:rsid w:val="00AD5268"/>
    <w:rsid w:val="00B0115E"/>
    <w:rsid w:val="00B43384"/>
    <w:rsid w:val="00B613D1"/>
    <w:rsid w:val="00B64F52"/>
    <w:rsid w:val="00B734A3"/>
    <w:rsid w:val="00B877FA"/>
    <w:rsid w:val="00BA303B"/>
    <w:rsid w:val="00BB08C3"/>
    <w:rsid w:val="00BB15D8"/>
    <w:rsid w:val="00BB3B38"/>
    <w:rsid w:val="00BC2CD8"/>
    <w:rsid w:val="00BD4B65"/>
    <w:rsid w:val="00BE536F"/>
    <w:rsid w:val="00BF3EC2"/>
    <w:rsid w:val="00C04982"/>
    <w:rsid w:val="00C06509"/>
    <w:rsid w:val="00C2064F"/>
    <w:rsid w:val="00C22CF7"/>
    <w:rsid w:val="00C24D2C"/>
    <w:rsid w:val="00C356C3"/>
    <w:rsid w:val="00C95C86"/>
    <w:rsid w:val="00CB1359"/>
    <w:rsid w:val="00CB2A20"/>
    <w:rsid w:val="00CB3779"/>
    <w:rsid w:val="00CC0E32"/>
    <w:rsid w:val="00D01798"/>
    <w:rsid w:val="00D05DF3"/>
    <w:rsid w:val="00D4669E"/>
    <w:rsid w:val="00D63FEE"/>
    <w:rsid w:val="00D715EC"/>
    <w:rsid w:val="00D74C2D"/>
    <w:rsid w:val="00D8153C"/>
    <w:rsid w:val="00D83477"/>
    <w:rsid w:val="00DA4706"/>
    <w:rsid w:val="00DA52A9"/>
    <w:rsid w:val="00DC2BB4"/>
    <w:rsid w:val="00DE0483"/>
    <w:rsid w:val="00DE6CF7"/>
    <w:rsid w:val="00DF14D8"/>
    <w:rsid w:val="00E24334"/>
    <w:rsid w:val="00E41372"/>
    <w:rsid w:val="00E56BD4"/>
    <w:rsid w:val="00E85961"/>
    <w:rsid w:val="00E8608E"/>
    <w:rsid w:val="00EB3EB3"/>
    <w:rsid w:val="00ED046B"/>
    <w:rsid w:val="00EF1CE7"/>
    <w:rsid w:val="00EF3965"/>
    <w:rsid w:val="00F46ACA"/>
    <w:rsid w:val="00F51DF5"/>
    <w:rsid w:val="00F5226F"/>
    <w:rsid w:val="00F634E0"/>
    <w:rsid w:val="00F74414"/>
    <w:rsid w:val="00F74CA9"/>
    <w:rsid w:val="00F929BA"/>
    <w:rsid w:val="00FB43A4"/>
    <w:rsid w:val="00FB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3C31F9B"/>
  <w15:chartTrackingRefBased/>
  <w15:docId w15:val="{7D44C533-72D3-4231-8264-1CBDF0B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C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1C2D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1F67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677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7E2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BB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Hodnocení firem</vt:lpstr>
    </vt:vector>
  </TitlesOfParts>
  <Company>Česká národní banka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Hodnocení firem</dc:title>
  <dc:subject/>
  <dc:creator>u00710</dc:creator>
  <cp:keywords/>
  <cp:lastModifiedBy>Opltová Silvie</cp:lastModifiedBy>
  <cp:revision>3</cp:revision>
  <cp:lastPrinted>2025-11-07T15:10:00Z</cp:lastPrinted>
  <dcterms:created xsi:type="dcterms:W3CDTF">2025-11-14T11:53:00Z</dcterms:created>
  <dcterms:modified xsi:type="dcterms:W3CDTF">2025-11-14T11:53:00Z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