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1D" w:rsidRPr="0037471D" w:rsidRDefault="0037471D" w:rsidP="0037471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D0D0D"/>
          <w:sz w:val="28"/>
          <w:szCs w:val="28"/>
          <w:u w:val="single"/>
          <w:lang w:eastAsia="en-GB"/>
        </w:rPr>
      </w:pPr>
      <w:r w:rsidRPr="0037471D">
        <w:rPr>
          <w:rFonts w:ascii="Times New Roman" w:hAnsi="Times New Roman"/>
          <w:b/>
          <w:bCs/>
          <w:color w:val="0D0D0D"/>
          <w:sz w:val="28"/>
          <w:szCs w:val="28"/>
          <w:u w:val="single"/>
          <w:lang w:eastAsia="en-GB"/>
        </w:rPr>
        <w:t>Seznam klíčových slov</w:t>
      </w:r>
    </w:p>
    <w:p w:rsidR="00C20FA0" w:rsidRPr="0037471D" w:rsidRDefault="005C64CE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lang w:eastAsia="en-GB"/>
        </w:rPr>
      </w:pPr>
      <w:r w:rsidRPr="0037471D">
        <w:rPr>
          <w:rFonts w:ascii="Times New Roman" w:hAnsi="Times New Roman"/>
          <w:b/>
          <w:bCs/>
          <w:color w:val="0D0D0D"/>
          <w:lang w:eastAsia="en-GB"/>
        </w:rPr>
        <w:t>Te</w:t>
      </w:r>
      <w:r w:rsidR="005000EE" w:rsidRPr="0037471D">
        <w:rPr>
          <w:rFonts w:ascii="Times New Roman" w:hAnsi="Times New Roman"/>
          <w:b/>
          <w:bCs/>
          <w:color w:val="0D0D0D"/>
          <w:lang w:eastAsia="en-GB"/>
        </w:rPr>
        <w:t>matické o</w:t>
      </w:r>
      <w:r w:rsidR="00C20FA0" w:rsidRPr="0037471D">
        <w:rPr>
          <w:rFonts w:ascii="Times New Roman" w:hAnsi="Times New Roman"/>
          <w:b/>
          <w:bCs/>
          <w:color w:val="0D0D0D"/>
          <w:lang w:eastAsia="en-GB"/>
        </w:rPr>
        <w:t xml:space="preserve">kruhy </w:t>
      </w:r>
      <w:r w:rsidR="005000EE" w:rsidRPr="0037471D">
        <w:rPr>
          <w:rFonts w:ascii="Times New Roman" w:hAnsi="Times New Roman"/>
          <w:b/>
          <w:bCs/>
          <w:color w:val="0D0D0D"/>
          <w:lang w:eastAsia="en-GB"/>
        </w:rPr>
        <w:t xml:space="preserve">a </w:t>
      </w:r>
      <w:r w:rsidR="00C20FA0" w:rsidRPr="0037471D">
        <w:rPr>
          <w:rFonts w:ascii="Times New Roman" w:hAnsi="Times New Roman"/>
          <w:b/>
          <w:bCs/>
          <w:color w:val="0D0D0D"/>
          <w:lang w:eastAsia="en-GB"/>
        </w:rPr>
        <w:t>klíčová slova</w:t>
      </w:r>
      <w:bookmarkStart w:id="0" w:name="_GoBack"/>
      <w:bookmarkEnd w:id="0"/>
    </w:p>
    <w:p w:rsidR="00B04C93" w:rsidRDefault="00B04C93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Czech </w:t>
      </w:r>
      <w:proofErr w:type="spellStart"/>
      <w:r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National</w:t>
      </w:r>
      <w:proofErr w:type="spellEnd"/>
      <w:r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 Bank</w:t>
      </w:r>
    </w:p>
    <w:p w:rsidR="00B04C93" w:rsidRPr="005C64CE" w:rsidRDefault="00B04C93" w:rsidP="00B04C93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CNB – ČNB – Czech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National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Bank – Česká národní banka</w:t>
      </w:r>
    </w:p>
    <w:p w:rsidR="00C20FA0" w:rsidRPr="005C64CE" w:rsidRDefault="00C20FA0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</w:pP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Central</w:t>
      </w:r>
      <w:proofErr w:type="spellEnd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Banks</w:t>
      </w:r>
      <w:proofErr w:type="spellEnd"/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Banking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supervision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>/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supervisor</w:t>
      </w:r>
      <w:proofErr w:type="spellEnd"/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Australia</w:t>
      </w:r>
      <w:proofErr w:type="spellEnd"/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China</w:t>
      </w:r>
      <w:proofErr w:type="spellEnd"/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England</w:t>
      </w:r>
      <w:proofErr w:type="spellEnd"/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France –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Banque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de France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Japan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New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Zealand</w:t>
      </w:r>
      <w:proofErr w:type="spellEnd"/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Spain</w:t>
      </w:r>
      <w:proofErr w:type="spellEnd"/>
    </w:p>
    <w:p w:rsidR="009B1008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>
        <w:rPr>
          <w:rFonts w:ascii="Times New Roman" w:hAnsi="Times New Roman"/>
          <w:color w:val="0D0D0D"/>
          <w:lang w:eastAsia="en-GB"/>
        </w:rPr>
        <w:t>Basel</w:t>
      </w:r>
      <w:proofErr w:type="spellEnd"/>
      <w:r>
        <w:rPr>
          <w:rFonts w:ascii="Times New Roman" w:hAnsi="Times New Roman"/>
          <w:color w:val="0D0D0D"/>
          <w:lang w:eastAsia="en-GB"/>
        </w:rPr>
        <w:t xml:space="preserve"> II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Basel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III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>
        <w:rPr>
          <w:rFonts w:ascii="Times New Roman" w:hAnsi="Times New Roman"/>
          <w:color w:val="0D0D0D"/>
          <w:lang w:eastAsia="en-GB"/>
        </w:rPr>
        <w:t>Basel</w:t>
      </w:r>
      <w:proofErr w:type="spellEnd"/>
      <w:r>
        <w:rPr>
          <w:rFonts w:ascii="Times New Roman" w:hAnsi="Times New Roman"/>
          <w:color w:val="0D0D0D"/>
          <w:lang w:eastAsia="en-GB"/>
        </w:rPr>
        <w:t xml:space="preserve"> v souvislosti</w:t>
      </w:r>
      <w:r w:rsidR="00842657">
        <w:rPr>
          <w:rFonts w:ascii="Times New Roman" w:hAnsi="Times New Roman"/>
          <w:color w:val="0D0D0D"/>
          <w:lang w:eastAsia="en-GB"/>
        </w:rPr>
        <w:t xml:space="preserve"> s bankovnictvím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>Bundesbank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Capital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adequacy</w:t>
      </w:r>
      <w:proofErr w:type="spellEnd"/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>Central bank</w:t>
      </w:r>
    </w:p>
    <w:p w:rsidR="009B1008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European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Bank</w:t>
      </w:r>
      <w:r>
        <w:rPr>
          <w:rFonts w:ascii="Times New Roman" w:hAnsi="Times New Roman"/>
          <w:color w:val="0D0D0D"/>
          <w:lang w:eastAsia="en-GB"/>
        </w:rPr>
        <w:t>ing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Authority</w:t>
      </w:r>
      <w:proofErr w:type="spellEnd"/>
      <w:r w:rsidR="00842657">
        <w:rPr>
          <w:rFonts w:ascii="Times New Roman" w:hAnsi="Times New Roman"/>
          <w:color w:val="0D0D0D"/>
          <w:lang w:eastAsia="en-GB"/>
        </w:rPr>
        <w:t xml:space="preserve"> –</w:t>
      </w:r>
      <w:r>
        <w:rPr>
          <w:rFonts w:ascii="Times New Roman" w:hAnsi="Times New Roman"/>
          <w:color w:val="0D0D0D"/>
          <w:lang w:eastAsia="en-GB"/>
        </w:rPr>
        <w:t xml:space="preserve"> EBA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European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Central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Bank</w:t>
      </w:r>
      <w:r w:rsidR="00842657">
        <w:rPr>
          <w:rFonts w:ascii="Times New Roman" w:hAnsi="Times New Roman"/>
          <w:color w:val="0D0D0D"/>
          <w:lang w:eastAsia="en-GB"/>
        </w:rPr>
        <w:t xml:space="preserve"> –</w:t>
      </w:r>
      <w:r w:rsidRPr="009B1008">
        <w:rPr>
          <w:rFonts w:ascii="Times New Roman" w:hAnsi="Times New Roman"/>
          <w:color w:val="0D0D0D"/>
          <w:lang w:eastAsia="en-GB"/>
        </w:rPr>
        <w:t xml:space="preserve"> </w:t>
      </w:r>
      <w:r>
        <w:rPr>
          <w:rFonts w:ascii="Times New Roman" w:hAnsi="Times New Roman"/>
          <w:color w:val="0D0D0D"/>
          <w:lang w:eastAsia="en-GB"/>
        </w:rPr>
        <w:t xml:space="preserve">ECB 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European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stability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Mechanism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– ESM</w:t>
      </w:r>
    </w:p>
    <w:p w:rsidR="009B1008" w:rsidRPr="005C64CE" w:rsidRDefault="009B1008" w:rsidP="009B1008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Fed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–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Federal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color w:val="0D0D0D"/>
          <w:lang w:eastAsia="en-GB"/>
        </w:rPr>
        <w:t>Reserve</w:t>
      </w:r>
      <w:proofErr w:type="spellEnd"/>
    </w:p>
    <w:p w:rsidR="009908CA" w:rsidRPr="005C64CE" w:rsidRDefault="009908CA" w:rsidP="009908CA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hAnsi="Times New Roman"/>
          <w:color w:val="0D0D0D"/>
          <w:lang w:eastAsia="en-GB"/>
        </w:rPr>
        <w:t>National</w:t>
      </w:r>
      <w:proofErr w:type="spellEnd"/>
      <w:r w:rsidRPr="005C64CE">
        <w:rPr>
          <w:rFonts w:ascii="Times New Roman" w:hAnsi="Times New Roman"/>
          <w:color w:val="0D0D0D"/>
          <w:lang w:eastAsia="en-GB"/>
        </w:rPr>
        <w:t xml:space="preserve"> Bank</w:t>
      </w:r>
    </w:p>
    <w:p w:rsidR="00C20FA0" w:rsidRPr="005C64CE" w:rsidRDefault="00C20FA0" w:rsidP="00C20FA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r w:rsidRPr="005C64CE">
        <w:rPr>
          <w:rFonts w:ascii="Times New Roman" w:hAnsi="Times New Roman"/>
          <w:color w:val="0D0D0D"/>
          <w:lang w:eastAsia="en-GB"/>
        </w:rPr>
        <w:t>Stress test ve vazbě na banky</w:t>
      </w:r>
    </w:p>
    <w:p w:rsidR="009908CA" w:rsidRPr="005C64CE" w:rsidRDefault="009908CA" w:rsidP="009908CA">
      <w:pPr>
        <w:pStyle w:val="Odstavecseseznamem"/>
        <w:numPr>
          <w:ilvl w:val="0"/>
          <w:numId w:val="1"/>
        </w:numPr>
        <w:rPr>
          <w:rFonts w:ascii="Times New Roman" w:hAnsi="Times New Roman"/>
          <w:color w:val="0D0D0D"/>
          <w:lang w:eastAsia="en-GB"/>
        </w:rPr>
      </w:pPr>
      <w:proofErr w:type="spellStart"/>
      <w:r w:rsidRPr="009908CA">
        <w:rPr>
          <w:rFonts w:ascii="Times New Roman" w:hAnsi="Times New Roman"/>
          <w:color w:val="0D0D0D"/>
          <w:lang w:eastAsia="en-GB"/>
        </w:rPr>
        <w:t>The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Authority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for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Anti-Money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Laundering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and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Countering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the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Financing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of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</w:t>
      </w:r>
      <w:proofErr w:type="spellStart"/>
      <w:r w:rsidRPr="009908CA">
        <w:rPr>
          <w:rFonts w:ascii="Times New Roman" w:hAnsi="Times New Roman"/>
          <w:color w:val="0D0D0D"/>
          <w:lang w:eastAsia="en-GB"/>
        </w:rPr>
        <w:t>Terrorism</w:t>
      </w:r>
      <w:proofErr w:type="spellEnd"/>
      <w:r w:rsidRPr="009908CA">
        <w:rPr>
          <w:rFonts w:ascii="Times New Roman" w:hAnsi="Times New Roman"/>
          <w:color w:val="0D0D0D"/>
          <w:lang w:eastAsia="en-GB"/>
        </w:rPr>
        <w:t xml:space="preserve"> </w:t>
      </w:r>
      <w:r>
        <w:rPr>
          <w:rFonts w:ascii="Times New Roman" w:hAnsi="Times New Roman"/>
          <w:color w:val="0D0D0D"/>
          <w:lang w:eastAsia="en-GB"/>
        </w:rPr>
        <w:t>(AMLA)</w:t>
      </w:r>
    </w:p>
    <w:p w:rsidR="00C20FA0" w:rsidRPr="005C64CE" w:rsidRDefault="00726AAD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</w:pP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Monetary</w:t>
      </w:r>
      <w:proofErr w:type="spellEnd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Policy</w:t>
      </w:r>
      <w:proofErr w:type="spellEnd"/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Central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Bank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Independence</w:t>
      </w:r>
      <w:proofErr w:type="spellEnd"/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Currency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Stability</w:t>
      </w:r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Emergency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Lending</w:t>
      </w:r>
      <w:proofErr w:type="spellEnd"/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Fiscal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Policy</w:t>
      </w:r>
      <w:proofErr w:type="spellEnd"/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Foreign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Exchange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Reserves</w:t>
      </w:r>
      <w:proofErr w:type="spellEnd"/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Inflation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Targeting</w:t>
      </w:r>
      <w:proofErr w:type="spellEnd"/>
    </w:p>
    <w:p w:rsidR="00C20FA0" w:rsidRPr="005C64CE" w:rsidRDefault="00C20FA0" w:rsidP="00C20FA0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Interest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Rates</w:t>
      </w:r>
      <w:proofErr w:type="spellEnd"/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Monetary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Policy</w:t>
      </w:r>
      <w:proofErr w:type="spellEnd"/>
    </w:p>
    <w:p w:rsidR="00E13B4A" w:rsidRPr="005C64CE" w:rsidRDefault="00E13B4A" w:rsidP="00E13B4A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Open Market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Operations</w:t>
      </w:r>
      <w:proofErr w:type="spellEnd"/>
    </w:p>
    <w:p w:rsidR="00C20FA0" w:rsidRPr="005C64CE" w:rsidRDefault="00C20FA0" w:rsidP="00C20FA0">
      <w:pPr>
        <w:numPr>
          <w:ilvl w:val="0"/>
          <w:numId w:val="2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Quantitative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Easing</w:t>
      </w:r>
      <w:proofErr w:type="spellEnd"/>
    </w:p>
    <w:p w:rsidR="00C20FA0" w:rsidRPr="005C64CE" w:rsidRDefault="00C20FA0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</w:pP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Economic</w:t>
      </w:r>
      <w:proofErr w:type="spellEnd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Indicators</w:t>
      </w:r>
      <w:proofErr w:type="spellEnd"/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Balance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of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Trade</w:t>
      </w:r>
      <w:proofErr w:type="spellEnd"/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lastRenderedPageBreak/>
        <w:t>Consumer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Price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Index (CPI)</w:t>
      </w:r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Economic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Recession</w:t>
      </w:r>
      <w:proofErr w:type="spellEnd"/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Economic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Recovery</w:t>
      </w:r>
      <w:proofErr w:type="spellEnd"/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Fiscal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Deficit</w:t>
      </w:r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GDP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Growth</w:t>
      </w:r>
      <w:proofErr w:type="spellEnd"/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Government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Bonds</w:t>
      </w:r>
      <w:proofErr w:type="spellEnd"/>
    </w:p>
    <w:p w:rsidR="00C20FA0" w:rsidRPr="005C64CE" w:rsidRDefault="00C20FA0" w:rsidP="00C20FA0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Inflation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Rate</w:t>
      </w:r>
      <w:proofErr w:type="spellEnd"/>
    </w:p>
    <w:p w:rsidR="00416361" w:rsidRPr="005C64CE" w:rsidRDefault="00416361" w:rsidP="00416361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Producer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Price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Index (PPI)</w:t>
      </w:r>
    </w:p>
    <w:p w:rsidR="00C20FA0" w:rsidRPr="005C64CE" w:rsidRDefault="00C20FA0" w:rsidP="00C20FA0">
      <w:pPr>
        <w:numPr>
          <w:ilvl w:val="0"/>
          <w:numId w:val="3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Unemployment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Rate</w:t>
      </w:r>
      <w:proofErr w:type="spellEnd"/>
    </w:p>
    <w:p w:rsidR="00C20FA0" w:rsidRPr="005C64CE" w:rsidRDefault="00C20FA0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</w:pP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Financial</w:t>
      </w:r>
      <w:proofErr w:type="spellEnd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 Stability</w:t>
      </w:r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Asset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Bubbles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Bank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Supervision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Credit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Conditions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Deposit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Insurance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Financial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Crisis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Financial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Regulation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Market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Liquidity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>Non-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Performing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Loans</w:t>
      </w:r>
      <w:proofErr w:type="spellEnd"/>
    </w:p>
    <w:p w:rsidR="00416361" w:rsidRPr="005C64CE" w:rsidRDefault="00416361" w:rsidP="00416361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Stress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Testing</w:t>
      </w:r>
      <w:proofErr w:type="spellEnd"/>
    </w:p>
    <w:p w:rsidR="00C20FA0" w:rsidRPr="005C64CE" w:rsidRDefault="00C20FA0" w:rsidP="00C20FA0">
      <w:pPr>
        <w:numPr>
          <w:ilvl w:val="0"/>
          <w:numId w:val="4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Systemic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Risk</w:t>
      </w:r>
    </w:p>
    <w:p w:rsidR="00C20FA0" w:rsidRPr="005C64CE" w:rsidRDefault="00C20FA0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</w:pPr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International </w:t>
      </w: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Aspects</w:t>
      </w:r>
      <w:proofErr w:type="spellEnd"/>
    </w:p>
    <w:p w:rsidR="00416361" w:rsidRPr="005C64CE" w:rsidRDefault="00416361" w:rsidP="00416361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Cross-Border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Payments</w:t>
      </w:r>
      <w:proofErr w:type="spellEnd"/>
    </w:p>
    <w:p w:rsidR="00416361" w:rsidRPr="005C64CE" w:rsidRDefault="00416361" w:rsidP="00416361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Economic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Sanctions</w:t>
      </w:r>
      <w:proofErr w:type="spellEnd"/>
    </w:p>
    <w:p w:rsidR="00416361" w:rsidRPr="005C64CE" w:rsidRDefault="00416361" w:rsidP="00416361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Exchange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Rate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Mechanism</w:t>
      </w:r>
      <w:proofErr w:type="spellEnd"/>
    </w:p>
    <w:p w:rsidR="00416361" w:rsidRPr="005C64CE" w:rsidRDefault="00416361" w:rsidP="00416361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Foreign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Investment</w:t>
      </w:r>
      <w:proofErr w:type="spellEnd"/>
    </w:p>
    <w:p w:rsidR="00C20FA0" w:rsidRPr="005C64CE" w:rsidRDefault="00C20FA0" w:rsidP="00C20FA0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Global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Economic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Outlook</w:t>
      </w:r>
    </w:p>
    <w:p w:rsidR="00416361" w:rsidRPr="005C64CE" w:rsidRDefault="00416361" w:rsidP="00416361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Global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Financial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Stability</w:t>
      </w:r>
    </w:p>
    <w:p w:rsidR="00C20FA0" w:rsidRPr="005C64CE" w:rsidRDefault="00C20FA0" w:rsidP="00C20FA0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International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Monetary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Fund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(IMF)</w:t>
      </w:r>
    </w:p>
    <w:p w:rsidR="00416361" w:rsidRPr="005C64CE" w:rsidRDefault="00416361" w:rsidP="00416361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International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Trade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Agreements</w:t>
      </w:r>
      <w:proofErr w:type="spellEnd"/>
    </w:p>
    <w:p w:rsidR="00416361" w:rsidRPr="005C64CE" w:rsidRDefault="00416361" w:rsidP="00416361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Trade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Wars</w:t>
      </w:r>
      <w:proofErr w:type="spellEnd"/>
    </w:p>
    <w:p w:rsidR="00C20FA0" w:rsidRPr="005C64CE" w:rsidRDefault="00C20FA0" w:rsidP="00C20FA0">
      <w:pPr>
        <w:numPr>
          <w:ilvl w:val="0"/>
          <w:numId w:val="5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World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Bank</w:t>
      </w:r>
    </w:p>
    <w:p w:rsidR="00C20FA0" w:rsidRPr="005C64CE" w:rsidRDefault="00C20FA0" w:rsidP="00C20FA0">
      <w:pPr>
        <w:spacing w:before="100" w:beforeAutospacing="1" w:after="100" w:afterAutospacing="1"/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</w:pP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Technological</w:t>
      </w:r>
      <w:proofErr w:type="spellEnd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 xml:space="preserve"> </w:t>
      </w:r>
      <w:proofErr w:type="spellStart"/>
      <w:r w:rsidRPr="005C64CE">
        <w:rPr>
          <w:rFonts w:ascii="Times New Roman" w:hAnsi="Times New Roman"/>
          <w:b/>
          <w:bCs/>
          <w:color w:val="0D0D0D"/>
          <w:sz w:val="28"/>
          <w:szCs w:val="28"/>
          <w:lang w:eastAsia="en-GB"/>
        </w:rPr>
        <w:t>Innovations</w:t>
      </w:r>
      <w:proofErr w:type="spellEnd"/>
    </w:p>
    <w:p w:rsidR="00416361" w:rsidRPr="005C64CE" w:rsidRDefault="00416361" w:rsidP="00416361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Artificial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Intelligence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in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Banking</w:t>
      </w:r>
      <w:proofErr w:type="spellEnd"/>
    </w:p>
    <w:p w:rsidR="00416361" w:rsidRDefault="00416361" w:rsidP="00416361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Big Data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Analysis</w:t>
      </w:r>
      <w:proofErr w:type="spellEnd"/>
    </w:p>
    <w:p w:rsidR="00416361" w:rsidRPr="005C64CE" w:rsidRDefault="00416361" w:rsidP="00416361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>
        <w:rPr>
          <w:rFonts w:ascii="Times New Roman" w:eastAsia="Times New Roman" w:hAnsi="Times New Roman"/>
          <w:color w:val="0D0D0D"/>
          <w:lang w:eastAsia="en-GB"/>
        </w:rPr>
        <w:t>Bitcoin</w:t>
      </w:r>
      <w:proofErr w:type="spellEnd"/>
    </w:p>
    <w:p w:rsidR="00416361" w:rsidRPr="005C64CE" w:rsidRDefault="00416361" w:rsidP="00416361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Blockchain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Technology</w:t>
      </w:r>
    </w:p>
    <w:p w:rsidR="00416361" w:rsidRPr="005C64CE" w:rsidRDefault="00416361" w:rsidP="00416361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>CBDC</w:t>
      </w:r>
    </w:p>
    <w:p w:rsidR="00416361" w:rsidRPr="005C64CE" w:rsidRDefault="00416361" w:rsidP="00416361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Cybersecurity</w:t>
      </w:r>
      <w:proofErr w:type="spellEnd"/>
    </w:p>
    <w:p w:rsidR="00C20FA0" w:rsidRPr="005C64CE" w:rsidRDefault="00C20FA0" w:rsidP="00C20FA0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Digital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Currency</w:t>
      </w:r>
      <w:proofErr w:type="spellEnd"/>
    </w:p>
    <w:p w:rsidR="00416361" w:rsidRPr="005C64CE" w:rsidRDefault="00416361" w:rsidP="00416361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Financial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Inclusion</w:t>
      </w:r>
      <w:proofErr w:type="spellEnd"/>
    </w:p>
    <w:p w:rsidR="00C20FA0" w:rsidRPr="005C64CE" w:rsidRDefault="00C20FA0" w:rsidP="00C20FA0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Fintech</w:t>
      </w:r>
      <w:proofErr w:type="spellEnd"/>
    </w:p>
    <w:p w:rsidR="00C20FA0" w:rsidRPr="005C64CE" w:rsidRDefault="00C20FA0" w:rsidP="00C20FA0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Mobile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Banking</w:t>
      </w:r>
      <w:proofErr w:type="spellEnd"/>
    </w:p>
    <w:p w:rsidR="00C20FA0" w:rsidRPr="005C64CE" w:rsidRDefault="00C20FA0" w:rsidP="00C20FA0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Payment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Systems</w:t>
      </w:r>
    </w:p>
    <w:p w:rsidR="000778A0" w:rsidRPr="0037471D" w:rsidRDefault="00C20FA0" w:rsidP="0037471D">
      <w:pPr>
        <w:numPr>
          <w:ilvl w:val="0"/>
          <w:numId w:val="6"/>
        </w:numPr>
        <w:rPr>
          <w:rFonts w:ascii="Times New Roman" w:eastAsia="Times New Roman" w:hAnsi="Times New Roman"/>
          <w:color w:val="0D0D0D"/>
          <w:lang w:eastAsia="en-GB"/>
        </w:rPr>
      </w:pP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Tech</w:t>
      </w:r>
      <w:proofErr w:type="spellEnd"/>
      <w:r w:rsidRPr="005C64CE">
        <w:rPr>
          <w:rFonts w:ascii="Times New Roman" w:eastAsia="Times New Roman" w:hAnsi="Times New Roman"/>
          <w:color w:val="0D0D0D"/>
          <w:lang w:eastAsia="en-GB"/>
        </w:rPr>
        <w:t xml:space="preserve"> </w:t>
      </w:r>
      <w:proofErr w:type="spellStart"/>
      <w:r w:rsidRPr="005C64CE">
        <w:rPr>
          <w:rFonts w:ascii="Times New Roman" w:eastAsia="Times New Roman" w:hAnsi="Times New Roman"/>
          <w:color w:val="0D0D0D"/>
          <w:lang w:eastAsia="en-GB"/>
        </w:rPr>
        <w:t>Regulation</w:t>
      </w:r>
      <w:proofErr w:type="spellEnd"/>
    </w:p>
    <w:sectPr w:rsidR="000778A0" w:rsidRPr="003747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1D" w:rsidRDefault="0037471D" w:rsidP="0037471D">
      <w:r>
        <w:separator/>
      </w:r>
    </w:p>
  </w:endnote>
  <w:endnote w:type="continuationSeparator" w:id="0">
    <w:p w:rsidR="0037471D" w:rsidRDefault="0037471D" w:rsidP="0037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1D" w:rsidRDefault="0037471D" w:rsidP="0037471D">
      <w:r>
        <w:separator/>
      </w:r>
    </w:p>
  </w:footnote>
  <w:footnote w:type="continuationSeparator" w:id="0">
    <w:p w:rsidR="0037471D" w:rsidRDefault="0037471D" w:rsidP="0037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71D" w:rsidRDefault="0037471D" w:rsidP="0037471D">
    <w:pPr>
      <w:pStyle w:val="Zhlav"/>
      <w:jc w:val="right"/>
    </w:pPr>
    <w:r>
      <w:t>Příloha č. 5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74B5"/>
    <w:multiLevelType w:val="multilevel"/>
    <w:tmpl w:val="167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4087C"/>
    <w:multiLevelType w:val="hybridMultilevel"/>
    <w:tmpl w:val="694CD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69F2"/>
    <w:multiLevelType w:val="multilevel"/>
    <w:tmpl w:val="9204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249AA"/>
    <w:multiLevelType w:val="multilevel"/>
    <w:tmpl w:val="6144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70C6C"/>
    <w:multiLevelType w:val="multilevel"/>
    <w:tmpl w:val="5F54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801E2"/>
    <w:multiLevelType w:val="multilevel"/>
    <w:tmpl w:val="F042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F8"/>
    <w:rsid w:val="000778A0"/>
    <w:rsid w:val="001D40CC"/>
    <w:rsid w:val="0037471D"/>
    <w:rsid w:val="00380904"/>
    <w:rsid w:val="00416361"/>
    <w:rsid w:val="005000EE"/>
    <w:rsid w:val="005C64CE"/>
    <w:rsid w:val="00726AAD"/>
    <w:rsid w:val="00765C92"/>
    <w:rsid w:val="007E171D"/>
    <w:rsid w:val="00842657"/>
    <w:rsid w:val="009469F8"/>
    <w:rsid w:val="00987D8A"/>
    <w:rsid w:val="009908CA"/>
    <w:rsid w:val="009B1008"/>
    <w:rsid w:val="00B04C93"/>
    <w:rsid w:val="00C20FA0"/>
    <w:rsid w:val="00C27ED4"/>
    <w:rsid w:val="00E13B4A"/>
    <w:rsid w:val="00E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FE57"/>
  <w15:chartTrackingRefBased/>
  <w15:docId w15:val="{8DD448E4-77C5-4459-A766-54250621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0FA0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FA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C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C93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47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71D"/>
    <w:rPr>
      <w:rFonts w:ascii="Aptos" w:hAnsi="Apto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47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471D"/>
    <w:rPr>
      <w:rFonts w:ascii="Aptos" w:hAnsi="Apto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ČN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F5496"/>
      </a:accent1>
      <a:accent2>
        <a:srgbClr val="FF0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Vlčková Petra</dc:creator>
  <cp:keywords/>
  <dc:description/>
  <cp:lastModifiedBy>Markéta Klíma Bučková</cp:lastModifiedBy>
  <cp:revision>2</cp:revision>
  <dcterms:created xsi:type="dcterms:W3CDTF">2025-07-16T05:18:00Z</dcterms:created>
  <dcterms:modified xsi:type="dcterms:W3CDTF">2025-07-16T05:18:00Z</dcterms:modified>
</cp:coreProperties>
</file>