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footer2.xml" ContentType="application/vnd.openxmlformats-officedocument.wordprocessingml.footer+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36290" w:rsidRPr="00997D49" w:rsidRDefault="00036290" w:rsidP="00036290">
      <w:pPr>
        <w:rPr>
          <w:rFonts w:cs="Arial"/>
        </w:rPr>
      </w:pPr>
    </w:p>
    <w:p w:rsidR="00036290" w:rsidRPr="00997D49" w:rsidRDefault="008626D5" w:rsidP="00036290">
      <w:pPr>
        <w:rPr>
          <w:rFonts w:cs="Arial"/>
        </w:rPr>
      </w:pPr>
      <w:r>
        <w:rPr>
          <w:noProof/>
        </w:rPr>
        <w:pict>
          <v:group id="Group 2" o:spid="_x0000_s1026" style="position:absolute;left:0;text-align:left;margin-left:0;margin-top:0;width:563.6pt;height:797.9pt;z-index:251659264;mso-width-percent:950;mso-height-percent:950;mso-position-horizontal:center;mso-position-horizontal-relative:page;mso-position-vertical:center;mso-position-vertical-relative:page;mso-width-percent:950;mso-height-percent:950" coordorigin="316,406" coordsize="11608,15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" o:allowincell="f">
            <v:group id="Group 3" o:spid="_x0000_s1027" style="position:absolute;left:316;top:406;width:11608;height:15028" coordorigin="321,406" coordsize="11600,15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4" o:spid="_x0000_s1028" alt="Zig zag" style="position:absolute;left:339;top:406;width:11582;height:150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" fillcolor="#8c8c8c" strokecolor="white" strokeweight="1pt">
                <v:fill r:id="rId8" o:title="" color2="#bfbfbf" type="pattern"/>
                <v:shadow color="#d8d8d8" offset="3pt,3pt"/>
              </v:rect>
              <v:rect id="Rectangle 5" o:spid="_x0000_s1029" style="position:absolute;left:3446;top:406;width:8475;height:15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" fillcolor="#737373" strokecolor="white" strokeweight="1pt">
                <v:shadow color="#d8d8d8" offset="3pt,3pt"/>
                <v:textbox inset="18pt,108pt,36pt">
                  <w:txbxContent>
                    <w:p w:rsidR="008626D5" w:rsidRPr="00751EB3" w:rsidRDefault="008626D5" w:rsidP="00036290">
                      <w:pPr>
                        <w:pStyle w:val="Bezmezer"/>
                        <w:rPr>
                          <w:color w:val="FFFFFF"/>
                          <w:sz w:val="96"/>
                          <w:szCs w:val="96"/>
                        </w:rPr>
                      </w:pPr>
                      <w:r w:rsidRPr="00751EB3">
                        <w:rPr>
                          <w:color w:val="FFFFFF"/>
                          <w:sz w:val="96"/>
                          <w:szCs w:val="96"/>
                        </w:rPr>
                        <w:t>S</w:t>
                      </w:r>
                      <w:r>
                        <w:rPr>
                          <w:color w:val="FFFFFF"/>
                          <w:sz w:val="96"/>
                          <w:szCs w:val="96"/>
                        </w:rPr>
                        <w:t>tudie</w:t>
                      </w:r>
                    </w:p>
                    <w:p w:rsidR="008626D5" w:rsidRPr="00751EB3" w:rsidRDefault="008626D5" w:rsidP="00036290">
                      <w:pPr>
                        <w:pStyle w:val="Bezmezer"/>
                        <w:rPr>
                          <w:color w:val="FFFFFF"/>
                          <w:sz w:val="56"/>
                          <w:szCs w:val="56"/>
                        </w:rPr>
                      </w:pPr>
                      <w:r>
                        <w:rPr>
                          <w:bCs/>
                          <w:color w:val="FFFFFF"/>
                          <w:sz w:val="56"/>
                          <w:szCs w:val="56"/>
                        </w:rPr>
                        <w:t>Optimalizace vytápění a možnosti dochlazení budovy ústředí ČNB</w:t>
                      </w:r>
                    </w:p>
                    <w:p w:rsidR="008626D5" w:rsidRPr="00751EB3" w:rsidRDefault="008626D5" w:rsidP="00036290">
                      <w:pPr>
                        <w:pStyle w:val="Bezmezer"/>
                        <w:rPr>
                          <w:color w:val="FFFFFF"/>
                        </w:rPr>
                      </w:pPr>
                    </w:p>
                    <w:p w:rsidR="008626D5" w:rsidRPr="00751EB3" w:rsidRDefault="008626D5" w:rsidP="00036290">
                      <w:pPr>
                        <w:pStyle w:val="Bezmezer"/>
                        <w:rPr>
                          <w:color w:val="FFFFFF"/>
                        </w:rPr>
                      </w:pPr>
                    </w:p>
                    <w:p w:rsidR="008626D5" w:rsidRPr="00751EB3" w:rsidRDefault="008626D5" w:rsidP="00036290">
                      <w:pPr>
                        <w:pStyle w:val="Bezmezer"/>
                        <w:rPr>
                          <w:color w:val="FFFFFF"/>
                        </w:rPr>
                      </w:pPr>
                    </w:p>
                  </w:txbxContent>
                </v:textbox>
              </v:rect>
              <v:group id="Group 6" o:spid="_x0000_s1030" style="position:absolute;left:321;top:3424;width:3125;height:6069" coordorigin="654,3599" coordsize="2880,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7" o:spid="_x0000_s1031" style="position:absolute;left:2094;top:6479;width:1440;height:144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" fillcolor="#a7bfde" strokecolor="white" strokeweight="1pt">
                  <v:fill opacity="52428f"/>
                  <v:shadow color="#d8d8d8" offset="3pt,3pt"/>
                </v:rect>
                <v:rect id="Rectangle 8" o:spid="_x0000_s1032" style="position:absolute;left:2094;top:5039;width:1440;height:144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" fillcolor="#a7bfde" strokecolor="white" strokeweight="1pt">
                  <v:fill opacity="32896f"/>
                  <v:shadow color="#d8d8d8" offset="3pt,3pt"/>
                </v:rect>
                <v:rect id="Rectangle 9" o:spid="_x0000_s1033" style="position:absolute;left:654;top:5039;width:1440;height:144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" fillcolor="#a7bfde" strokecolor="white" strokeweight="1pt">
                  <v:fill opacity="52428f"/>
                  <v:shadow color="#d8d8d8" offset="3pt,3pt"/>
                </v:rect>
                <v:rect id="Rectangle 10" o:spid="_x0000_s1034" style="position:absolute;left:654;top:3599;width:1440;height:144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" fillcolor="#a7bfde" strokecolor="white" strokeweight="1pt">
                  <v:fill opacity="32896f"/>
                  <v:shadow color="#d8d8d8" offset="3pt,3pt"/>
                </v:rect>
                <v:rect id="Rectangle 11" o:spid="_x0000_s1035" style="position:absolute;left:654;top:6479;width:1440;height:144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" fillcolor="#a7bfde" strokecolor="white" strokeweight="1pt">
                  <v:fill opacity="32896f"/>
                  <v:shadow color="#d8d8d8" offset="3pt,3pt"/>
                </v:rect>
                <v:rect id="Rectangle 12" o:spid="_x0000_s1036" style="position:absolute;left:2094;top:7919;width:1440;height:144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" fillcolor="#a7bfde" strokecolor="white" strokeweight="1pt">
                  <v:fill opacity="32896f"/>
                  <v:shadow color="#d8d8d8" offset="3pt,3pt"/>
                </v:rect>
              </v:group>
              <v:rect id="Rectangle 13" o:spid="_x0000_s1037" style="position:absolute;left:2690;top:406;width:1563;height:1518;flip:x;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" fillcolor="#c0504d" strokecolor="white" strokeweight="1pt">
                <v:shadow color="#d8d8d8" offset="3pt,3pt"/>
                <v:textbox>
                  <w:txbxContent>
                    <w:p w:rsidR="008626D5" w:rsidRPr="00751EB3" w:rsidRDefault="008626D5" w:rsidP="00036290">
                      <w:pPr>
                        <w:jc w:val="center"/>
                        <w:rPr>
                          <w:color w:val="FFFFFF"/>
                          <w:sz w:val="48"/>
                          <w:szCs w:val="52"/>
                        </w:rPr>
                      </w:pPr>
                      <w:r w:rsidRPr="00751EB3">
                        <w:rPr>
                          <w:color w:val="FFFFFF"/>
                          <w:sz w:val="52"/>
                          <w:szCs w:val="52"/>
                        </w:rPr>
                        <w:t>20</w:t>
                      </w:r>
                      <w:r>
                        <w:rPr>
                          <w:color w:val="FFFFFF"/>
                          <w:sz w:val="52"/>
                          <w:szCs w:val="52"/>
                        </w:rPr>
                        <w:t>20</w:t>
                      </w:r>
                    </w:p>
                  </w:txbxContent>
                </v:textbox>
              </v:rect>
            </v:group>
            <v:group id="Group 14" o:spid="_x0000_s1038" style="position:absolute;left:3446;top:13758;width:8169;height:1382" coordorigin="3446,13758" coordsize="8169,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Group 15" o:spid="_x0000_s1039" style="position:absolute;left:10833;top:14380;width:782;height:760;flip:x y" coordorigin="8754,11945" coordsize="2880,2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">
                <v:rect id="Rectangle 16" o:spid="_x0000_s1040" style="position:absolute;left:10194;top:11945;width:1440;height:144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" fillcolor="#bfbfbf" strokecolor="white" strokeweight="1pt">
                  <v:fill opacity="32896f"/>
                  <v:shadow color="#d8d8d8" offset="3pt,3pt"/>
                </v:rect>
                <v:rect id="Rectangle 17" o:spid="_x0000_s1041" style="position:absolute;left:10194;top:13364;width:1440;height:144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" fillcolor="#c0504d" strokecolor="white" strokeweight="1pt">
                  <v:shadow color="#d8d8d8" offset="3pt,3pt"/>
                </v:rect>
                <v:rect id="Rectangle 18" o:spid="_x0000_s1042" style="position:absolute;left:8754;top:13364;width:1440;height:1440;flip:x;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" fillcolor="#bfbfbf" strokecolor="white" strokeweight="1pt">
                  <v:fill opacity="32896f"/>
                  <v:shadow color="#d8d8d8" offset="3pt,3pt"/>
                </v:rect>
              </v:group>
              <v:rect id="Rectangle 19" o:spid="_x0000_s1043" style="position:absolute;left:3446;top:13758;width:7105;height:1382;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" filled="f" stroked="f" strokecolor="white" strokeweight="1pt">
                <v:fill opacity="52428f"/>
                <v:textbox inset=",0,,0">
                  <w:txbxContent>
                    <w:p w:rsidR="008626D5" w:rsidRPr="00751EB3" w:rsidRDefault="008626D5" w:rsidP="00036290">
                      <w:pPr>
                        <w:pStyle w:val="Bezmezer"/>
                        <w:jc w:val="right"/>
                        <w:rPr>
                          <w:color w:val="FFFFFF"/>
                        </w:rPr>
                      </w:pPr>
                      <w:r w:rsidRPr="00751EB3">
                        <w:rPr>
                          <w:color w:val="FFFFFF"/>
                        </w:rPr>
                        <w:t>BRES spol. s r.o.</w:t>
                      </w:r>
                    </w:p>
                    <w:p w:rsidR="008626D5" w:rsidRDefault="008626D5" w:rsidP="00036290">
                      <w:pPr>
                        <w:pStyle w:val="Bezmezer"/>
                        <w:jc w:val="right"/>
                        <w:rPr>
                          <w:color w:val="FFFFFF"/>
                        </w:rPr>
                      </w:pPr>
                      <w:r>
                        <w:rPr>
                          <w:color w:val="FFFFFF"/>
                        </w:rPr>
                        <w:t>12/</w:t>
                      </w:r>
                      <w:r w:rsidRPr="00751EB3">
                        <w:rPr>
                          <w:color w:val="FFFFFF"/>
                        </w:rPr>
                        <w:t>20</w:t>
                      </w:r>
                      <w:r>
                        <w:rPr>
                          <w:color w:val="FFFFFF"/>
                        </w:rPr>
                        <w:t>20</w:t>
                      </w:r>
                    </w:p>
                    <w:p w:rsidR="008626D5" w:rsidRPr="00751EB3" w:rsidRDefault="008626D5" w:rsidP="00036290">
                      <w:pPr>
                        <w:pStyle w:val="Bezmezer"/>
                        <w:jc w:val="right"/>
                        <w:rPr>
                          <w:color w:val="FFFFFF"/>
                        </w:rPr>
                      </w:pPr>
                    </w:p>
                  </w:txbxContent>
                </v:textbox>
              </v:rect>
            </v:group>
            <w10:wrap anchorx="page" anchory="page"/>
          </v:group>
        </w:pict>
      </w:r>
    </w:p>
    <w:p w:rsidR="00036290" w:rsidRDefault="00036290" w:rsidP="00036290">
      <w:r>
        <w:br w:type="page"/>
      </w:r>
    </w:p>
    <w:p w:rsidR="001F196F" w:rsidRDefault="001F196F" w:rsidP="008369C1">
      <w:pPr>
        <w:rPr>
          <w:b/>
          <w:sz w:val="36"/>
          <w:szCs w:val="36"/>
        </w:rPr>
        <w:sectPr w:rsidR="001F196F" w:rsidSect="00F91C8B">
          <w:headerReference w:type="default" r:id="rId9"/>
          <w:footerReference w:type="default" r:id="rId10"/>
          <w:pgSz w:w="11906" w:h="16838"/>
          <w:pgMar w:top="1417" w:right="1417" w:bottom="1417" w:left="1417" w:header="709" w:footer="709" w:gutter="0"/>
          <w:cols w:space="708"/>
          <w:titlePg/>
          <w:docGrid w:linePitch="360"/>
        </w:sectPr>
      </w:pPr>
    </w:p>
    <w:p w:rsidR="00593146" w:rsidRPr="008369C1" w:rsidRDefault="00905566" w:rsidP="008369C1">
      <w:pPr>
        <w:rPr>
          <w:b/>
          <w:sz w:val="36"/>
          <w:szCs w:val="36"/>
        </w:rPr>
      </w:pPr>
      <w:r w:rsidRPr="008369C1">
        <w:rPr>
          <w:b/>
          <w:sz w:val="36"/>
          <w:szCs w:val="36"/>
        </w:rPr>
        <w:lastRenderedPageBreak/>
        <w:t>OBSAH</w:t>
      </w:r>
    </w:p>
    <w:p w:rsidR="0006071D" w:rsidRDefault="009C5596">
      <w:pPr>
        <w:pStyle w:val="Obsah1"/>
        <w:rPr>
          <w:rFonts w:asciiTheme="minorHAnsi" w:eastAsiaTheme="minorEastAsia" w:hAnsiTheme="minorHAnsi"/>
          <w:noProof/>
          <w:lang w:eastAsia="cs-CZ"/>
        </w:rPr>
      </w:pPr>
      <w:r>
        <w:rPr>
          <w:rFonts w:eastAsiaTheme="majorEastAsia" w:cstheme="majorBidi"/>
          <w:b/>
          <w:sz w:val="48"/>
          <w:szCs w:val="32"/>
        </w:rPr>
        <w:fldChar w:fldCharType="begin"/>
      </w:r>
      <w:r w:rsidR="00D413A6">
        <w:rPr>
          <w:rFonts w:eastAsiaTheme="majorEastAsia" w:cstheme="majorBidi"/>
          <w:b/>
          <w:sz w:val="48"/>
          <w:szCs w:val="32"/>
        </w:rPr>
        <w:instrText xml:space="preserve"> TOC \o "1-3" \u </w:instrText>
      </w:r>
      <w:r>
        <w:rPr>
          <w:rFonts w:eastAsiaTheme="majorEastAsia" w:cstheme="majorBidi"/>
          <w:b/>
          <w:sz w:val="48"/>
          <w:szCs w:val="32"/>
        </w:rPr>
        <w:fldChar w:fldCharType="separate"/>
      </w:r>
      <w:r w:rsidR="0006071D">
        <w:rPr>
          <w:noProof/>
        </w:rPr>
        <w:t>ANOTACE</w:t>
      </w:r>
      <w:r w:rsidR="0006071D">
        <w:rPr>
          <w:noProof/>
        </w:rPr>
        <w:tab/>
      </w:r>
      <w:r w:rsidR="0006071D">
        <w:rPr>
          <w:noProof/>
        </w:rPr>
        <w:fldChar w:fldCharType="begin"/>
      </w:r>
      <w:r w:rsidR="0006071D">
        <w:rPr>
          <w:noProof/>
        </w:rPr>
        <w:instrText xml:space="preserve"> PAGEREF _Toc58949327 \h </w:instrText>
      </w:r>
      <w:r w:rsidR="0006071D">
        <w:rPr>
          <w:noProof/>
        </w:rPr>
      </w:r>
      <w:r w:rsidR="0006071D">
        <w:rPr>
          <w:noProof/>
        </w:rPr>
        <w:fldChar w:fldCharType="separate"/>
      </w:r>
      <w:r w:rsidR="00816426">
        <w:rPr>
          <w:noProof/>
        </w:rPr>
        <w:t>5</w:t>
      </w:r>
      <w:r w:rsidR="0006071D">
        <w:rPr>
          <w:noProof/>
        </w:rPr>
        <w:fldChar w:fldCharType="end"/>
      </w:r>
    </w:p>
    <w:p w:rsidR="0006071D" w:rsidRDefault="0006071D">
      <w:pPr>
        <w:pStyle w:val="Obsah1"/>
        <w:rPr>
          <w:rFonts w:asciiTheme="minorHAnsi" w:eastAsiaTheme="minorEastAsia" w:hAnsiTheme="minorHAnsi"/>
          <w:noProof/>
          <w:lang w:eastAsia="cs-CZ"/>
        </w:rPr>
      </w:pPr>
      <w:r>
        <w:rPr>
          <w:noProof/>
        </w:rPr>
        <w:t>IDENTIFIKAČNÍ ÚDAJE STAVBY</w:t>
      </w:r>
      <w:r>
        <w:rPr>
          <w:noProof/>
        </w:rPr>
        <w:tab/>
      </w:r>
      <w:r>
        <w:rPr>
          <w:noProof/>
        </w:rPr>
        <w:fldChar w:fldCharType="begin"/>
      </w:r>
      <w:r>
        <w:rPr>
          <w:noProof/>
        </w:rPr>
        <w:instrText xml:space="preserve"> PAGEREF _Toc58949328 \h </w:instrText>
      </w:r>
      <w:r>
        <w:rPr>
          <w:noProof/>
        </w:rPr>
      </w:r>
      <w:r>
        <w:rPr>
          <w:noProof/>
        </w:rPr>
        <w:fldChar w:fldCharType="separate"/>
      </w:r>
      <w:r w:rsidR="00816426">
        <w:rPr>
          <w:noProof/>
        </w:rPr>
        <w:t>6</w:t>
      </w:r>
      <w:r>
        <w:rPr>
          <w:noProof/>
        </w:rPr>
        <w:fldChar w:fldCharType="end"/>
      </w:r>
    </w:p>
    <w:p w:rsidR="0006071D" w:rsidRDefault="0006071D">
      <w:pPr>
        <w:pStyle w:val="Obsah1"/>
        <w:tabs>
          <w:tab w:val="left" w:pos="440"/>
        </w:tabs>
        <w:rPr>
          <w:rFonts w:asciiTheme="minorHAnsi" w:eastAsiaTheme="minorEastAsia" w:hAnsiTheme="minorHAnsi"/>
          <w:noProof/>
          <w:lang w:eastAsia="cs-CZ"/>
        </w:rPr>
      </w:pPr>
      <w:r>
        <w:rPr>
          <w:noProof/>
        </w:rPr>
        <w:t>1</w:t>
      </w:r>
      <w:r>
        <w:rPr>
          <w:rFonts w:asciiTheme="minorHAnsi" w:eastAsiaTheme="minorEastAsia" w:hAnsiTheme="minorHAnsi"/>
          <w:noProof/>
          <w:lang w:eastAsia="cs-CZ"/>
        </w:rPr>
        <w:tab/>
      </w:r>
      <w:r>
        <w:rPr>
          <w:noProof/>
        </w:rPr>
        <w:t>ÚVOD</w:t>
      </w:r>
      <w:r>
        <w:rPr>
          <w:noProof/>
        </w:rPr>
        <w:tab/>
      </w:r>
      <w:r>
        <w:rPr>
          <w:noProof/>
        </w:rPr>
        <w:fldChar w:fldCharType="begin"/>
      </w:r>
      <w:r>
        <w:rPr>
          <w:noProof/>
        </w:rPr>
        <w:instrText xml:space="preserve"> PAGEREF _Toc58949329 \h </w:instrText>
      </w:r>
      <w:r>
        <w:rPr>
          <w:noProof/>
        </w:rPr>
      </w:r>
      <w:r>
        <w:rPr>
          <w:noProof/>
        </w:rPr>
        <w:fldChar w:fldCharType="separate"/>
      </w:r>
      <w:r w:rsidR="00816426">
        <w:rPr>
          <w:noProof/>
        </w:rPr>
        <w:t>7</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1.1</w:t>
      </w:r>
      <w:r>
        <w:rPr>
          <w:rFonts w:asciiTheme="minorHAnsi" w:eastAsiaTheme="minorEastAsia" w:hAnsiTheme="minorHAnsi"/>
          <w:noProof/>
          <w:lang w:eastAsia="cs-CZ"/>
        </w:rPr>
        <w:tab/>
      </w:r>
      <w:r>
        <w:rPr>
          <w:noProof/>
        </w:rPr>
        <w:t>Účel dokumentu</w:t>
      </w:r>
      <w:r>
        <w:rPr>
          <w:noProof/>
        </w:rPr>
        <w:tab/>
      </w:r>
      <w:r>
        <w:rPr>
          <w:noProof/>
        </w:rPr>
        <w:fldChar w:fldCharType="begin"/>
      </w:r>
      <w:r>
        <w:rPr>
          <w:noProof/>
        </w:rPr>
        <w:instrText xml:space="preserve"> PAGEREF _Toc58949330 \h </w:instrText>
      </w:r>
      <w:r>
        <w:rPr>
          <w:noProof/>
        </w:rPr>
      </w:r>
      <w:r>
        <w:rPr>
          <w:noProof/>
        </w:rPr>
        <w:fldChar w:fldCharType="separate"/>
      </w:r>
      <w:r w:rsidR="00816426">
        <w:rPr>
          <w:noProof/>
        </w:rPr>
        <w:t>7</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1.2</w:t>
      </w:r>
      <w:r>
        <w:rPr>
          <w:rFonts w:asciiTheme="minorHAnsi" w:eastAsiaTheme="minorEastAsia" w:hAnsiTheme="minorHAnsi"/>
          <w:noProof/>
          <w:lang w:eastAsia="cs-CZ"/>
        </w:rPr>
        <w:tab/>
      </w:r>
      <w:r>
        <w:rPr>
          <w:noProof/>
        </w:rPr>
        <w:t>Použité předpisy a obecné technické normy</w:t>
      </w:r>
      <w:r>
        <w:rPr>
          <w:noProof/>
        </w:rPr>
        <w:tab/>
      </w:r>
      <w:r>
        <w:rPr>
          <w:noProof/>
        </w:rPr>
        <w:fldChar w:fldCharType="begin"/>
      </w:r>
      <w:r>
        <w:rPr>
          <w:noProof/>
        </w:rPr>
        <w:instrText xml:space="preserve"> PAGEREF _Toc58949331 \h </w:instrText>
      </w:r>
      <w:r>
        <w:rPr>
          <w:noProof/>
        </w:rPr>
      </w:r>
      <w:r>
        <w:rPr>
          <w:noProof/>
        </w:rPr>
        <w:fldChar w:fldCharType="separate"/>
      </w:r>
      <w:r w:rsidR="00816426">
        <w:rPr>
          <w:noProof/>
        </w:rPr>
        <w:t>7</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1.3</w:t>
      </w:r>
      <w:r>
        <w:rPr>
          <w:rFonts w:asciiTheme="minorHAnsi" w:eastAsiaTheme="minorEastAsia" w:hAnsiTheme="minorHAnsi"/>
          <w:noProof/>
          <w:lang w:eastAsia="cs-CZ"/>
        </w:rPr>
        <w:tab/>
      </w:r>
      <w:r>
        <w:rPr>
          <w:noProof/>
        </w:rPr>
        <w:t>Výchozí podklady pro zpracování projektu</w:t>
      </w:r>
      <w:r>
        <w:rPr>
          <w:noProof/>
        </w:rPr>
        <w:tab/>
      </w:r>
      <w:r>
        <w:rPr>
          <w:noProof/>
        </w:rPr>
        <w:fldChar w:fldCharType="begin"/>
      </w:r>
      <w:r>
        <w:rPr>
          <w:noProof/>
        </w:rPr>
        <w:instrText xml:space="preserve"> PAGEREF _Toc58949332 \h </w:instrText>
      </w:r>
      <w:r>
        <w:rPr>
          <w:noProof/>
        </w:rPr>
      </w:r>
      <w:r>
        <w:rPr>
          <w:noProof/>
        </w:rPr>
        <w:fldChar w:fldCharType="separate"/>
      </w:r>
      <w:r w:rsidR="00816426">
        <w:rPr>
          <w:noProof/>
        </w:rPr>
        <w:t>8</w:t>
      </w:r>
      <w:r>
        <w:rPr>
          <w:noProof/>
        </w:rPr>
        <w:fldChar w:fldCharType="end"/>
      </w:r>
    </w:p>
    <w:p w:rsidR="0006071D" w:rsidRDefault="0006071D">
      <w:pPr>
        <w:pStyle w:val="Obsah1"/>
        <w:tabs>
          <w:tab w:val="left" w:pos="440"/>
        </w:tabs>
        <w:rPr>
          <w:rFonts w:asciiTheme="minorHAnsi" w:eastAsiaTheme="minorEastAsia" w:hAnsiTheme="minorHAnsi"/>
          <w:noProof/>
          <w:lang w:eastAsia="cs-CZ"/>
        </w:rPr>
      </w:pPr>
      <w:r>
        <w:rPr>
          <w:noProof/>
        </w:rPr>
        <w:t>2</w:t>
      </w:r>
      <w:r>
        <w:rPr>
          <w:rFonts w:asciiTheme="minorHAnsi" w:eastAsiaTheme="minorEastAsia" w:hAnsiTheme="minorHAnsi"/>
          <w:noProof/>
          <w:lang w:eastAsia="cs-CZ"/>
        </w:rPr>
        <w:tab/>
      </w:r>
      <w:r>
        <w:rPr>
          <w:noProof/>
        </w:rPr>
        <w:t>VÝCHOZÍ STAV, ZDŮVODNĚNÍ REALIZACE PROJEKTU A ANALÝZA JEHO POTŘEBNOSTI A PŘÍNOSŮ</w:t>
      </w:r>
      <w:r>
        <w:rPr>
          <w:noProof/>
        </w:rPr>
        <w:tab/>
      </w:r>
      <w:r>
        <w:rPr>
          <w:noProof/>
        </w:rPr>
        <w:fldChar w:fldCharType="begin"/>
      </w:r>
      <w:r>
        <w:rPr>
          <w:noProof/>
        </w:rPr>
        <w:instrText xml:space="preserve"> PAGEREF _Toc58949333 \h </w:instrText>
      </w:r>
      <w:r>
        <w:rPr>
          <w:noProof/>
        </w:rPr>
      </w:r>
      <w:r>
        <w:rPr>
          <w:noProof/>
        </w:rPr>
        <w:fldChar w:fldCharType="separate"/>
      </w:r>
      <w:r w:rsidR="00816426">
        <w:rPr>
          <w:noProof/>
        </w:rPr>
        <w:t>8</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2.1</w:t>
      </w:r>
      <w:r>
        <w:rPr>
          <w:rFonts w:asciiTheme="minorHAnsi" w:eastAsiaTheme="minorEastAsia" w:hAnsiTheme="minorHAnsi"/>
          <w:noProof/>
          <w:lang w:eastAsia="cs-CZ"/>
        </w:rPr>
        <w:tab/>
      </w:r>
      <w:r>
        <w:rPr>
          <w:noProof/>
        </w:rPr>
        <w:t>Zdůvodnění realizace projektu a analýza jeho potřebnosti a přínosů</w:t>
      </w:r>
      <w:r>
        <w:rPr>
          <w:noProof/>
        </w:rPr>
        <w:tab/>
      </w:r>
      <w:r>
        <w:rPr>
          <w:noProof/>
        </w:rPr>
        <w:fldChar w:fldCharType="begin"/>
      </w:r>
      <w:r>
        <w:rPr>
          <w:noProof/>
        </w:rPr>
        <w:instrText xml:space="preserve"> PAGEREF _Toc58949334 \h </w:instrText>
      </w:r>
      <w:r>
        <w:rPr>
          <w:noProof/>
        </w:rPr>
      </w:r>
      <w:r>
        <w:rPr>
          <w:noProof/>
        </w:rPr>
        <w:fldChar w:fldCharType="separate"/>
      </w:r>
      <w:r w:rsidR="00816426">
        <w:rPr>
          <w:noProof/>
        </w:rPr>
        <w:t>8</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2.2</w:t>
      </w:r>
      <w:r>
        <w:rPr>
          <w:rFonts w:asciiTheme="minorHAnsi" w:eastAsiaTheme="minorEastAsia" w:hAnsiTheme="minorHAnsi"/>
          <w:noProof/>
          <w:lang w:eastAsia="cs-CZ"/>
        </w:rPr>
        <w:tab/>
      </w:r>
      <w:r>
        <w:rPr>
          <w:noProof/>
        </w:rPr>
        <w:t>Vytápění a ohřev TV (výchozí stav)</w:t>
      </w:r>
      <w:r>
        <w:rPr>
          <w:noProof/>
        </w:rPr>
        <w:tab/>
      </w:r>
      <w:r>
        <w:rPr>
          <w:noProof/>
        </w:rPr>
        <w:fldChar w:fldCharType="begin"/>
      </w:r>
      <w:r>
        <w:rPr>
          <w:noProof/>
        </w:rPr>
        <w:instrText xml:space="preserve"> PAGEREF _Toc58949335 \h </w:instrText>
      </w:r>
      <w:r>
        <w:rPr>
          <w:noProof/>
        </w:rPr>
      </w:r>
      <w:r>
        <w:rPr>
          <w:noProof/>
        </w:rPr>
        <w:fldChar w:fldCharType="separate"/>
      </w:r>
      <w:r w:rsidR="00816426">
        <w:rPr>
          <w:noProof/>
        </w:rPr>
        <w:t>9</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2.2.1</w:t>
      </w:r>
      <w:r>
        <w:rPr>
          <w:rFonts w:asciiTheme="minorHAnsi" w:eastAsiaTheme="minorEastAsia" w:hAnsiTheme="minorHAnsi"/>
          <w:noProof/>
          <w:lang w:eastAsia="cs-CZ"/>
        </w:rPr>
        <w:tab/>
      </w:r>
      <w:r>
        <w:rPr>
          <w:noProof/>
        </w:rPr>
        <w:t>Potřeba tepla pro vytápění a ohřev TV</w:t>
      </w:r>
      <w:r>
        <w:rPr>
          <w:noProof/>
        </w:rPr>
        <w:tab/>
      </w:r>
      <w:r>
        <w:rPr>
          <w:noProof/>
        </w:rPr>
        <w:fldChar w:fldCharType="begin"/>
      </w:r>
      <w:r>
        <w:rPr>
          <w:noProof/>
        </w:rPr>
        <w:instrText xml:space="preserve"> PAGEREF _Toc58949336 \h </w:instrText>
      </w:r>
      <w:r>
        <w:rPr>
          <w:noProof/>
        </w:rPr>
      </w:r>
      <w:r>
        <w:rPr>
          <w:noProof/>
        </w:rPr>
        <w:fldChar w:fldCharType="separate"/>
      </w:r>
      <w:r w:rsidR="00816426">
        <w:rPr>
          <w:noProof/>
        </w:rPr>
        <w:t>9</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2.2.2</w:t>
      </w:r>
      <w:r>
        <w:rPr>
          <w:rFonts w:asciiTheme="minorHAnsi" w:eastAsiaTheme="minorEastAsia" w:hAnsiTheme="minorHAnsi"/>
          <w:noProof/>
          <w:lang w:eastAsia="cs-CZ"/>
        </w:rPr>
        <w:tab/>
      </w:r>
      <w:r>
        <w:rPr>
          <w:noProof/>
        </w:rPr>
        <w:t>Měsíční bilance spotřeby tepla</w:t>
      </w:r>
      <w:r>
        <w:rPr>
          <w:noProof/>
        </w:rPr>
        <w:tab/>
      </w:r>
      <w:r>
        <w:rPr>
          <w:noProof/>
        </w:rPr>
        <w:fldChar w:fldCharType="begin"/>
      </w:r>
      <w:r>
        <w:rPr>
          <w:noProof/>
        </w:rPr>
        <w:instrText xml:space="preserve"> PAGEREF _Toc58949337 \h </w:instrText>
      </w:r>
      <w:r>
        <w:rPr>
          <w:noProof/>
        </w:rPr>
      </w:r>
      <w:r>
        <w:rPr>
          <w:noProof/>
        </w:rPr>
        <w:fldChar w:fldCharType="separate"/>
      </w:r>
      <w:r w:rsidR="00816426">
        <w:rPr>
          <w:noProof/>
        </w:rPr>
        <w:t>9</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2.2.3</w:t>
      </w:r>
      <w:r>
        <w:rPr>
          <w:rFonts w:asciiTheme="minorHAnsi" w:eastAsiaTheme="minorEastAsia" w:hAnsiTheme="minorHAnsi"/>
          <w:noProof/>
          <w:lang w:eastAsia="cs-CZ"/>
        </w:rPr>
        <w:tab/>
      </w:r>
      <w:r>
        <w:rPr>
          <w:noProof/>
        </w:rPr>
        <w:t>Hodinové bilance spotřeby tepla</w:t>
      </w:r>
      <w:r>
        <w:rPr>
          <w:noProof/>
        </w:rPr>
        <w:tab/>
      </w:r>
      <w:r>
        <w:rPr>
          <w:noProof/>
        </w:rPr>
        <w:fldChar w:fldCharType="begin"/>
      </w:r>
      <w:r>
        <w:rPr>
          <w:noProof/>
        </w:rPr>
        <w:instrText xml:space="preserve"> PAGEREF _Toc58949338 \h </w:instrText>
      </w:r>
      <w:r>
        <w:rPr>
          <w:noProof/>
        </w:rPr>
      </w:r>
      <w:r>
        <w:rPr>
          <w:noProof/>
        </w:rPr>
        <w:fldChar w:fldCharType="separate"/>
      </w:r>
      <w:r w:rsidR="00816426">
        <w:rPr>
          <w:noProof/>
        </w:rPr>
        <w:t>11</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2.3</w:t>
      </w:r>
      <w:r>
        <w:rPr>
          <w:rFonts w:asciiTheme="minorHAnsi" w:eastAsiaTheme="minorEastAsia" w:hAnsiTheme="minorHAnsi"/>
          <w:noProof/>
          <w:lang w:eastAsia="cs-CZ"/>
        </w:rPr>
        <w:tab/>
      </w:r>
      <w:r>
        <w:rPr>
          <w:noProof/>
        </w:rPr>
        <w:t>Chlazení (výchozí stav)</w:t>
      </w:r>
      <w:r>
        <w:rPr>
          <w:noProof/>
        </w:rPr>
        <w:tab/>
      </w:r>
      <w:r>
        <w:rPr>
          <w:noProof/>
        </w:rPr>
        <w:fldChar w:fldCharType="begin"/>
      </w:r>
      <w:r>
        <w:rPr>
          <w:noProof/>
        </w:rPr>
        <w:instrText xml:space="preserve"> PAGEREF _Toc58949339 \h </w:instrText>
      </w:r>
      <w:r>
        <w:rPr>
          <w:noProof/>
        </w:rPr>
      </w:r>
      <w:r>
        <w:rPr>
          <w:noProof/>
        </w:rPr>
        <w:fldChar w:fldCharType="separate"/>
      </w:r>
      <w:r w:rsidR="00816426">
        <w:rPr>
          <w:noProof/>
        </w:rPr>
        <w:t>14</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2.3.1</w:t>
      </w:r>
      <w:r>
        <w:rPr>
          <w:rFonts w:asciiTheme="minorHAnsi" w:eastAsiaTheme="minorEastAsia" w:hAnsiTheme="minorHAnsi"/>
          <w:noProof/>
          <w:lang w:eastAsia="cs-CZ"/>
        </w:rPr>
        <w:tab/>
      </w:r>
      <w:r>
        <w:rPr>
          <w:noProof/>
        </w:rPr>
        <w:t>Zdroj chladu CH1 – letní chlazení (výchozí stav)</w:t>
      </w:r>
      <w:r>
        <w:rPr>
          <w:noProof/>
        </w:rPr>
        <w:tab/>
      </w:r>
      <w:r>
        <w:rPr>
          <w:noProof/>
        </w:rPr>
        <w:fldChar w:fldCharType="begin"/>
      </w:r>
      <w:r>
        <w:rPr>
          <w:noProof/>
        </w:rPr>
        <w:instrText xml:space="preserve"> PAGEREF _Toc58949340 \h </w:instrText>
      </w:r>
      <w:r>
        <w:rPr>
          <w:noProof/>
        </w:rPr>
      </w:r>
      <w:r>
        <w:rPr>
          <w:noProof/>
        </w:rPr>
        <w:fldChar w:fldCharType="separate"/>
      </w:r>
      <w:r w:rsidR="00816426">
        <w:rPr>
          <w:noProof/>
        </w:rPr>
        <w:t>14</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2.3.2</w:t>
      </w:r>
      <w:r>
        <w:rPr>
          <w:rFonts w:asciiTheme="minorHAnsi" w:eastAsiaTheme="minorEastAsia" w:hAnsiTheme="minorHAnsi"/>
          <w:noProof/>
          <w:lang w:eastAsia="cs-CZ"/>
        </w:rPr>
        <w:tab/>
      </w:r>
      <w:r>
        <w:rPr>
          <w:noProof/>
        </w:rPr>
        <w:t>Zdroj chladu CH2 – celoroční chlazení (výchozí stav)</w:t>
      </w:r>
      <w:r>
        <w:rPr>
          <w:noProof/>
        </w:rPr>
        <w:tab/>
      </w:r>
      <w:r>
        <w:rPr>
          <w:noProof/>
        </w:rPr>
        <w:fldChar w:fldCharType="begin"/>
      </w:r>
      <w:r>
        <w:rPr>
          <w:noProof/>
        </w:rPr>
        <w:instrText xml:space="preserve"> PAGEREF _Toc58949341 \h </w:instrText>
      </w:r>
      <w:r>
        <w:rPr>
          <w:noProof/>
        </w:rPr>
      </w:r>
      <w:r>
        <w:rPr>
          <w:noProof/>
        </w:rPr>
        <w:fldChar w:fldCharType="separate"/>
      </w:r>
      <w:r w:rsidR="00816426">
        <w:rPr>
          <w:noProof/>
        </w:rPr>
        <w:t>15</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2.3.3</w:t>
      </w:r>
      <w:r>
        <w:rPr>
          <w:rFonts w:asciiTheme="minorHAnsi" w:eastAsiaTheme="minorEastAsia" w:hAnsiTheme="minorHAnsi"/>
          <w:noProof/>
          <w:lang w:eastAsia="cs-CZ"/>
        </w:rPr>
        <w:tab/>
      </w:r>
      <w:r>
        <w:rPr>
          <w:noProof/>
        </w:rPr>
        <w:t>Výkonové rezervy jednotlivých zdrojů chladu</w:t>
      </w:r>
      <w:r>
        <w:rPr>
          <w:noProof/>
        </w:rPr>
        <w:tab/>
      </w:r>
      <w:r>
        <w:rPr>
          <w:noProof/>
        </w:rPr>
        <w:fldChar w:fldCharType="begin"/>
      </w:r>
      <w:r>
        <w:rPr>
          <w:noProof/>
        </w:rPr>
        <w:instrText xml:space="preserve"> PAGEREF _Toc58949342 \h </w:instrText>
      </w:r>
      <w:r>
        <w:rPr>
          <w:noProof/>
        </w:rPr>
      </w:r>
      <w:r>
        <w:rPr>
          <w:noProof/>
        </w:rPr>
        <w:fldChar w:fldCharType="separate"/>
      </w:r>
      <w:r w:rsidR="00816426">
        <w:rPr>
          <w:noProof/>
        </w:rPr>
        <w:t>16</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2.3.4</w:t>
      </w:r>
      <w:r>
        <w:rPr>
          <w:rFonts w:asciiTheme="minorHAnsi" w:eastAsiaTheme="minorEastAsia" w:hAnsiTheme="minorHAnsi"/>
          <w:noProof/>
          <w:lang w:eastAsia="cs-CZ"/>
        </w:rPr>
        <w:tab/>
      </w:r>
      <w:r>
        <w:rPr>
          <w:noProof/>
        </w:rPr>
        <w:t>Měsíční bilance spotřeby chladu</w:t>
      </w:r>
      <w:r>
        <w:rPr>
          <w:noProof/>
        </w:rPr>
        <w:tab/>
      </w:r>
      <w:r>
        <w:rPr>
          <w:noProof/>
        </w:rPr>
        <w:fldChar w:fldCharType="begin"/>
      </w:r>
      <w:r>
        <w:rPr>
          <w:noProof/>
        </w:rPr>
        <w:instrText xml:space="preserve"> PAGEREF _Toc58949343 \h </w:instrText>
      </w:r>
      <w:r>
        <w:rPr>
          <w:noProof/>
        </w:rPr>
      </w:r>
      <w:r>
        <w:rPr>
          <w:noProof/>
        </w:rPr>
        <w:fldChar w:fldCharType="separate"/>
      </w:r>
      <w:r w:rsidR="00816426">
        <w:rPr>
          <w:noProof/>
        </w:rPr>
        <w:t>17</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2.3.5</w:t>
      </w:r>
      <w:r>
        <w:rPr>
          <w:rFonts w:asciiTheme="minorHAnsi" w:eastAsiaTheme="minorEastAsia" w:hAnsiTheme="minorHAnsi"/>
          <w:noProof/>
          <w:lang w:eastAsia="cs-CZ"/>
        </w:rPr>
        <w:tab/>
      </w:r>
      <w:r>
        <w:rPr>
          <w:noProof/>
        </w:rPr>
        <w:t>Denní bilance spotřeby chladu</w:t>
      </w:r>
      <w:r>
        <w:rPr>
          <w:noProof/>
        </w:rPr>
        <w:tab/>
      </w:r>
      <w:r>
        <w:rPr>
          <w:noProof/>
        </w:rPr>
        <w:fldChar w:fldCharType="begin"/>
      </w:r>
      <w:r>
        <w:rPr>
          <w:noProof/>
        </w:rPr>
        <w:instrText xml:space="preserve"> PAGEREF _Toc58949344 \h </w:instrText>
      </w:r>
      <w:r>
        <w:rPr>
          <w:noProof/>
        </w:rPr>
      </w:r>
      <w:r>
        <w:rPr>
          <w:noProof/>
        </w:rPr>
        <w:fldChar w:fldCharType="separate"/>
      </w:r>
      <w:r w:rsidR="00816426">
        <w:rPr>
          <w:noProof/>
        </w:rPr>
        <w:t>20</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2.4</w:t>
      </w:r>
      <w:r>
        <w:rPr>
          <w:rFonts w:asciiTheme="minorHAnsi" w:eastAsiaTheme="minorEastAsia" w:hAnsiTheme="minorHAnsi"/>
          <w:noProof/>
          <w:lang w:eastAsia="cs-CZ"/>
        </w:rPr>
        <w:tab/>
      </w:r>
      <w:r>
        <w:rPr>
          <w:noProof/>
        </w:rPr>
        <w:t>Elektrická energie</w:t>
      </w:r>
      <w:r>
        <w:rPr>
          <w:noProof/>
        </w:rPr>
        <w:tab/>
      </w:r>
      <w:r>
        <w:rPr>
          <w:noProof/>
        </w:rPr>
        <w:fldChar w:fldCharType="begin"/>
      </w:r>
      <w:r>
        <w:rPr>
          <w:noProof/>
        </w:rPr>
        <w:instrText xml:space="preserve"> PAGEREF _Toc58949345 \h </w:instrText>
      </w:r>
      <w:r>
        <w:rPr>
          <w:noProof/>
        </w:rPr>
      </w:r>
      <w:r>
        <w:rPr>
          <w:noProof/>
        </w:rPr>
        <w:fldChar w:fldCharType="separate"/>
      </w:r>
      <w:r w:rsidR="00816426">
        <w:rPr>
          <w:noProof/>
        </w:rPr>
        <w:t>21</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2.4.1</w:t>
      </w:r>
      <w:r>
        <w:rPr>
          <w:rFonts w:asciiTheme="minorHAnsi" w:eastAsiaTheme="minorEastAsia" w:hAnsiTheme="minorHAnsi"/>
          <w:noProof/>
          <w:lang w:eastAsia="cs-CZ"/>
        </w:rPr>
        <w:tab/>
      </w:r>
      <w:r>
        <w:rPr>
          <w:noProof/>
        </w:rPr>
        <w:t>Měsíční bilance spotřeby elektrické energie</w:t>
      </w:r>
      <w:r>
        <w:rPr>
          <w:noProof/>
        </w:rPr>
        <w:tab/>
      </w:r>
      <w:r>
        <w:rPr>
          <w:noProof/>
        </w:rPr>
        <w:fldChar w:fldCharType="begin"/>
      </w:r>
      <w:r>
        <w:rPr>
          <w:noProof/>
        </w:rPr>
        <w:instrText xml:space="preserve"> PAGEREF _Toc58949346 \h </w:instrText>
      </w:r>
      <w:r>
        <w:rPr>
          <w:noProof/>
        </w:rPr>
      </w:r>
      <w:r>
        <w:rPr>
          <w:noProof/>
        </w:rPr>
        <w:fldChar w:fldCharType="separate"/>
      </w:r>
      <w:r w:rsidR="00816426">
        <w:rPr>
          <w:noProof/>
        </w:rPr>
        <w:t>21</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2.4.2</w:t>
      </w:r>
      <w:r>
        <w:rPr>
          <w:rFonts w:asciiTheme="minorHAnsi" w:eastAsiaTheme="minorEastAsia" w:hAnsiTheme="minorHAnsi"/>
          <w:noProof/>
          <w:lang w:eastAsia="cs-CZ"/>
        </w:rPr>
        <w:tab/>
      </w:r>
      <w:r>
        <w:rPr>
          <w:noProof/>
        </w:rPr>
        <w:t>Průběh spotřeby elektrické energie ve vybraných dnech</w:t>
      </w:r>
      <w:r>
        <w:rPr>
          <w:noProof/>
        </w:rPr>
        <w:tab/>
      </w:r>
      <w:r>
        <w:rPr>
          <w:noProof/>
        </w:rPr>
        <w:fldChar w:fldCharType="begin"/>
      </w:r>
      <w:r>
        <w:rPr>
          <w:noProof/>
        </w:rPr>
        <w:instrText xml:space="preserve"> PAGEREF _Toc58949347 \h </w:instrText>
      </w:r>
      <w:r>
        <w:rPr>
          <w:noProof/>
        </w:rPr>
      </w:r>
      <w:r>
        <w:rPr>
          <w:noProof/>
        </w:rPr>
        <w:fldChar w:fldCharType="separate"/>
      </w:r>
      <w:r w:rsidR="00816426">
        <w:rPr>
          <w:noProof/>
        </w:rPr>
        <w:t>23</w:t>
      </w:r>
      <w:r>
        <w:rPr>
          <w:noProof/>
        </w:rPr>
        <w:fldChar w:fldCharType="end"/>
      </w:r>
    </w:p>
    <w:p w:rsidR="0006071D" w:rsidRDefault="0006071D">
      <w:pPr>
        <w:pStyle w:val="Obsah1"/>
        <w:tabs>
          <w:tab w:val="left" w:pos="440"/>
        </w:tabs>
        <w:rPr>
          <w:rFonts w:asciiTheme="minorHAnsi" w:eastAsiaTheme="minorEastAsia" w:hAnsiTheme="minorHAnsi"/>
          <w:noProof/>
          <w:lang w:eastAsia="cs-CZ"/>
        </w:rPr>
      </w:pPr>
      <w:r>
        <w:rPr>
          <w:noProof/>
        </w:rPr>
        <w:t>3</w:t>
      </w:r>
      <w:r>
        <w:rPr>
          <w:rFonts w:asciiTheme="minorHAnsi" w:eastAsiaTheme="minorEastAsia" w:hAnsiTheme="minorHAnsi"/>
          <w:noProof/>
          <w:lang w:eastAsia="cs-CZ"/>
        </w:rPr>
        <w:tab/>
      </w:r>
      <w:r>
        <w:rPr>
          <w:noProof/>
        </w:rPr>
        <w:t>POPIS PROJEKTU A JEHO AKTIVIT / ETAP</w:t>
      </w:r>
      <w:r>
        <w:rPr>
          <w:noProof/>
        </w:rPr>
        <w:tab/>
      </w:r>
      <w:r>
        <w:rPr>
          <w:noProof/>
        </w:rPr>
        <w:fldChar w:fldCharType="begin"/>
      </w:r>
      <w:r>
        <w:rPr>
          <w:noProof/>
        </w:rPr>
        <w:instrText xml:space="preserve"> PAGEREF _Toc58949348 \h </w:instrText>
      </w:r>
      <w:r>
        <w:rPr>
          <w:noProof/>
        </w:rPr>
      </w:r>
      <w:r>
        <w:rPr>
          <w:noProof/>
        </w:rPr>
        <w:fldChar w:fldCharType="separate"/>
      </w:r>
      <w:r w:rsidR="00816426">
        <w:rPr>
          <w:noProof/>
        </w:rPr>
        <w:t>25</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3.1.1</w:t>
      </w:r>
      <w:r>
        <w:rPr>
          <w:rFonts w:asciiTheme="minorHAnsi" w:eastAsiaTheme="minorEastAsia" w:hAnsiTheme="minorHAnsi"/>
          <w:noProof/>
          <w:lang w:eastAsia="cs-CZ"/>
        </w:rPr>
        <w:tab/>
      </w:r>
      <w:r>
        <w:rPr>
          <w:noProof/>
        </w:rPr>
        <w:t>Nároky na emisní limity (KGJ)</w:t>
      </w:r>
      <w:r>
        <w:rPr>
          <w:noProof/>
        </w:rPr>
        <w:tab/>
      </w:r>
      <w:r>
        <w:rPr>
          <w:noProof/>
        </w:rPr>
        <w:fldChar w:fldCharType="begin"/>
      </w:r>
      <w:r>
        <w:rPr>
          <w:noProof/>
        </w:rPr>
        <w:instrText xml:space="preserve"> PAGEREF _Toc58949349 \h </w:instrText>
      </w:r>
      <w:r>
        <w:rPr>
          <w:noProof/>
        </w:rPr>
      </w:r>
      <w:r>
        <w:rPr>
          <w:noProof/>
        </w:rPr>
        <w:fldChar w:fldCharType="separate"/>
      </w:r>
      <w:r w:rsidR="00816426">
        <w:rPr>
          <w:noProof/>
        </w:rPr>
        <w:t>25</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3.1.2</w:t>
      </w:r>
      <w:r>
        <w:rPr>
          <w:rFonts w:asciiTheme="minorHAnsi" w:eastAsiaTheme="minorEastAsia" w:hAnsiTheme="minorHAnsi"/>
          <w:noProof/>
          <w:lang w:eastAsia="cs-CZ"/>
        </w:rPr>
        <w:tab/>
      </w:r>
      <w:r>
        <w:rPr>
          <w:noProof/>
        </w:rPr>
        <w:t>Nároky na prostor pro nastěhování (KGJ)</w:t>
      </w:r>
      <w:r>
        <w:rPr>
          <w:noProof/>
        </w:rPr>
        <w:tab/>
      </w:r>
      <w:r>
        <w:rPr>
          <w:noProof/>
        </w:rPr>
        <w:fldChar w:fldCharType="begin"/>
      </w:r>
      <w:r>
        <w:rPr>
          <w:noProof/>
        </w:rPr>
        <w:instrText xml:space="preserve"> PAGEREF _Toc58949350 \h </w:instrText>
      </w:r>
      <w:r>
        <w:rPr>
          <w:noProof/>
        </w:rPr>
      </w:r>
      <w:r>
        <w:rPr>
          <w:noProof/>
        </w:rPr>
        <w:fldChar w:fldCharType="separate"/>
      </w:r>
      <w:r w:rsidR="00816426">
        <w:rPr>
          <w:noProof/>
        </w:rPr>
        <w:t>26</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3.1.3</w:t>
      </w:r>
      <w:r>
        <w:rPr>
          <w:rFonts w:asciiTheme="minorHAnsi" w:eastAsiaTheme="minorEastAsia" w:hAnsiTheme="minorHAnsi"/>
          <w:noProof/>
          <w:lang w:eastAsia="cs-CZ"/>
        </w:rPr>
        <w:tab/>
      </w:r>
      <w:r>
        <w:rPr>
          <w:noProof/>
        </w:rPr>
        <w:t>Spotřeba elektrické energie objektu</w:t>
      </w:r>
      <w:r>
        <w:rPr>
          <w:noProof/>
        </w:rPr>
        <w:tab/>
      </w:r>
      <w:r>
        <w:rPr>
          <w:noProof/>
        </w:rPr>
        <w:fldChar w:fldCharType="begin"/>
      </w:r>
      <w:r>
        <w:rPr>
          <w:noProof/>
        </w:rPr>
        <w:instrText xml:space="preserve"> PAGEREF _Toc58949351 \h </w:instrText>
      </w:r>
      <w:r>
        <w:rPr>
          <w:noProof/>
        </w:rPr>
      </w:r>
      <w:r>
        <w:rPr>
          <w:noProof/>
        </w:rPr>
        <w:fldChar w:fldCharType="separate"/>
      </w:r>
      <w:r w:rsidR="00816426">
        <w:rPr>
          <w:noProof/>
        </w:rPr>
        <w:t>27</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3.1.4</w:t>
      </w:r>
      <w:r>
        <w:rPr>
          <w:rFonts w:asciiTheme="minorHAnsi" w:eastAsiaTheme="minorEastAsia" w:hAnsiTheme="minorHAnsi"/>
          <w:noProof/>
          <w:lang w:eastAsia="cs-CZ"/>
        </w:rPr>
        <w:tab/>
      </w:r>
      <w:r>
        <w:rPr>
          <w:noProof/>
        </w:rPr>
        <w:t>Spotřeba tepla objektu</w:t>
      </w:r>
      <w:r>
        <w:rPr>
          <w:noProof/>
        </w:rPr>
        <w:tab/>
      </w:r>
      <w:r>
        <w:rPr>
          <w:noProof/>
        </w:rPr>
        <w:fldChar w:fldCharType="begin"/>
      </w:r>
      <w:r>
        <w:rPr>
          <w:noProof/>
        </w:rPr>
        <w:instrText xml:space="preserve"> PAGEREF _Toc58949352 \h </w:instrText>
      </w:r>
      <w:r>
        <w:rPr>
          <w:noProof/>
        </w:rPr>
      </w:r>
      <w:r>
        <w:rPr>
          <w:noProof/>
        </w:rPr>
        <w:fldChar w:fldCharType="separate"/>
      </w:r>
      <w:r w:rsidR="00816426">
        <w:rPr>
          <w:noProof/>
        </w:rPr>
        <w:t>27</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3.1.5</w:t>
      </w:r>
      <w:r>
        <w:rPr>
          <w:rFonts w:asciiTheme="minorHAnsi" w:eastAsiaTheme="minorEastAsia" w:hAnsiTheme="minorHAnsi"/>
          <w:noProof/>
          <w:lang w:eastAsia="cs-CZ"/>
        </w:rPr>
        <w:tab/>
      </w:r>
      <w:r>
        <w:rPr>
          <w:noProof/>
        </w:rPr>
        <w:t>Podpora obnovitelných zdrojů energie (POZE) – KVET</w:t>
      </w:r>
      <w:r>
        <w:rPr>
          <w:noProof/>
        </w:rPr>
        <w:tab/>
      </w:r>
      <w:r>
        <w:rPr>
          <w:noProof/>
        </w:rPr>
        <w:fldChar w:fldCharType="begin"/>
      </w:r>
      <w:r>
        <w:rPr>
          <w:noProof/>
        </w:rPr>
        <w:instrText xml:space="preserve"> PAGEREF _Toc58949353 \h </w:instrText>
      </w:r>
      <w:r>
        <w:rPr>
          <w:noProof/>
        </w:rPr>
      </w:r>
      <w:r>
        <w:rPr>
          <w:noProof/>
        </w:rPr>
        <w:fldChar w:fldCharType="separate"/>
      </w:r>
      <w:r w:rsidR="00816426">
        <w:rPr>
          <w:noProof/>
        </w:rPr>
        <w:t>27</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3.2</w:t>
      </w:r>
      <w:r>
        <w:rPr>
          <w:rFonts w:asciiTheme="minorHAnsi" w:eastAsiaTheme="minorEastAsia" w:hAnsiTheme="minorHAnsi"/>
          <w:noProof/>
          <w:lang w:eastAsia="cs-CZ"/>
        </w:rPr>
        <w:tab/>
      </w:r>
      <w:r>
        <w:rPr>
          <w:noProof/>
        </w:rPr>
        <w:t>Varianta A – dodatečná kritéria</w:t>
      </w:r>
      <w:r>
        <w:rPr>
          <w:noProof/>
        </w:rPr>
        <w:tab/>
      </w:r>
      <w:r>
        <w:rPr>
          <w:noProof/>
        </w:rPr>
        <w:fldChar w:fldCharType="begin"/>
      </w:r>
      <w:r>
        <w:rPr>
          <w:noProof/>
        </w:rPr>
        <w:instrText xml:space="preserve"> PAGEREF _Toc58949354 \h </w:instrText>
      </w:r>
      <w:r>
        <w:rPr>
          <w:noProof/>
        </w:rPr>
      </w:r>
      <w:r>
        <w:rPr>
          <w:noProof/>
        </w:rPr>
        <w:fldChar w:fldCharType="separate"/>
      </w:r>
      <w:r w:rsidR="00816426">
        <w:rPr>
          <w:noProof/>
        </w:rPr>
        <w:t>28</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3.2.1</w:t>
      </w:r>
      <w:r>
        <w:rPr>
          <w:rFonts w:asciiTheme="minorHAnsi" w:eastAsiaTheme="minorEastAsia" w:hAnsiTheme="minorHAnsi"/>
          <w:noProof/>
          <w:lang w:eastAsia="cs-CZ"/>
        </w:rPr>
        <w:tab/>
      </w:r>
      <w:r>
        <w:rPr>
          <w:noProof/>
        </w:rPr>
        <w:t>Nároky na emisní limity (absorpční jednotka)</w:t>
      </w:r>
      <w:r>
        <w:rPr>
          <w:noProof/>
        </w:rPr>
        <w:tab/>
      </w:r>
      <w:r>
        <w:rPr>
          <w:noProof/>
        </w:rPr>
        <w:fldChar w:fldCharType="begin"/>
      </w:r>
      <w:r>
        <w:rPr>
          <w:noProof/>
        </w:rPr>
        <w:instrText xml:space="preserve"> PAGEREF _Toc58949355 \h </w:instrText>
      </w:r>
      <w:r>
        <w:rPr>
          <w:noProof/>
        </w:rPr>
      </w:r>
      <w:r>
        <w:rPr>
          <w:noProof/>
        </w:rPr>
        <w:fldChar w:fldCharType="separate"/>
      </w:r>
      <w:r w:rsidR="00816426">
        <w:rPr>
          <w:noProof/>
        </w:rPr>
        <w:t>29</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3.2.2</w:t>
      </w:r>
      <w:r>
        <w:rPr>
          <w:rFonts w:asciiTheme="minorHAnsi" w:eastAsiaTheme="minorEastAsia" w:hAnsiTheme="minorHAnsi"/>
          <w:noProof/>
          <w:lang w:eastAsia="cs-CZ"/>
        </w:rPr>
        <w:tab/>
      </w:r>
      <w:r>
        <w:rPr>
          <w:noProof/>
        </w:rPr>
        <w:t>Nároky na prostor pro nastěhování (absorpční jednotka)</w:t>
      </w:r>
      <w:r>
        <w:rPr>
          <w:noProof/>
        </w:rPr>
        <w:tab/>
      </w:r>
      <w:r>
        <w:rPr>
          <w:noProof/>
        </w:rPr>
        <w:fldChar w:fldCharType="begin"/>
      </w:r>
      <w:r>
        <w:rPr>
          <w:noProof/>
        </w:rPr>
        <w:instrText xml:space="preserve"> PAGEREF _Toc58949356 \h </w:instrText>
      </w:r>
      <w:r>
        <w:rPr>
          <w:noProof/>
        </w:rPr>
      </w:r>
      <w:r>
        <w:rPr>
          <w:noProof/>
        </w:rPr>
        <w:fldChar w:fldCharType="separate"/>
      </w:r>
      <w:r w:rsidR="00816426">
        <w:rPr>
          <w:noProof/>
        </w:rPr>
        <w:t>29</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3.2.3</w:t>
      </w:r>
      <w:r>
        <w:rPr>
          <w:rFonts w:asciiTheme="minorHAnsi" w:eastAsiaTheme="minorEastAsia" w:hAnsiTheme="minorHAnsi"/>
          <w:noProof/>
          <w:lang w:eastAsia="cs-CZ"/>
        </w:rPr>
        <w:tab/>
      </w:r>
      <w:r>
        <w:rPr>
          <w:noProof/>
        </w:rPr>
        <w:t>Nároky na prostor pro nastěhování (chladicí věže)</w:t>
      </w:r>
      <w:r>
        <w:rPr>
          <w:noProof/>
        </w:rPr>
        <w:tab/>
      </w:r>
      <w:r>
        <w:rPr>
          <w:noProof/>
        </w:rPr>
        <w:fldChar w:fldCharType="begin"/>
      </w:r>
      <w:r>
        <w:rPr>
          <w:noProof/>
        </w:rPr>
        <w:instrText xml:space="preserve"> PAGEREF _Toc58949357 \h </w:instrText>
      </w:r>
      <w:r>
        <w:rPr>
          <w:noProof/>
        </w:rPr>
      </w:r>
      <w:r>
        <w:rPr>
          <w:noProof/>
        </w:rPr>
        <w:fldChar w:fldCharType="separate"/>
      </w:r>
      <w:r w:rsidR="00816426">
        <w:rPr>
          <w:noProof/>
        </w:rPr>
        <w:t>29</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lastRenderedPageBreak/>
        <w:t>3.2.4</w:t>
      </w:r>
      <w:r>
        <w:rPr>
          <w:rFonts w:asciiTheme="minorHAnsi" w:eastAsiaTheme="minorEastAsia" w:hAnsiTheme="minorHAnsi"/>
          <w:noProof/>
          <w:lang w:eastAsia="cs-CZ"/>
        </w:rPr>
        <w:tab/>
      </w:r>
      <w:r>
        <w:rPr>
          <w:noProof/>
        </w:rPr>
        <w:t>Varianta A – dodatečná kritéria – závěr</w:t>
      </w:r>
      <w:r>
        <w:rPr>
          <w:noProof/>
        </w:rPr>
        <w:tab/>
      </w:r>
      <w:r>
        <w:rPr>
          <w:noProof/>
        </w:rPr>
        <w:fldChar w:fldCharType="begin"/>
      </w:r>
      <w:r>
        <w:rPr>
          <w:noProof/>
        </w:rPr>
        <w:instrText xml:space="preserve"> PAGEREF _Toc58949358 \h </w:instrText>
      </w:r>
      <w:r>
        <w:rPr>
          <w:noProof/>
        </w:rPr>
      </w:r>
      <w:r>
        <w:rPr>
          <w:noProof/>
        </w:rPr>
        <w:fldChar w:fldCharType="separate"/>
      </w:r>
      <w:r w:rsidR="00816426">
        <w:rPr>
          <w:noProof/>
        </w:rPr>
        <w:t>30</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3.3</w:t>
      </w:r>
      <w:r>
        <w:rPr>
          <w:rFonts w:asciiTheme="minorHAnsi" w:eastAsiaTheme="minorEastAsia" w:hAnsiTheme="minorHAnsi"/>
          <w:noProof/>
          <w:lang w:eastAsia="cs-CZ"/>
        </w:rPr>
        <w:tab/>
      </w:r>
      <w:r>
        <w:rPr>
          <w:noProof/>
        </w:rPr>
        <w:t>Varianta B – dodatečná kritéria</w:t>
      </w:r>
      <w:r>
        <w:rPr>
          <w:noProof/>
        </w:rPr>
        <w:tab/>
      </w:r>
      <w:r>
        <w:rPr>
          <w:noProof/>
        </w:rPr>
        <w:fldChar w:fldCharType="begin"/>
      </w:r>
      <w:r>
        <w:rPr>
          <w:noProof/>
        </w:rPr>
        <w:instrText xml:space="preserve"> PAGEREF _Toc58949359 \h </w:instrText>
      </w:r>
      <w:r>
        <w:rPr>
          <w:noProof/>
        </w:rPr>
      </w:r>
      <w:r>
        <w:rPr>
          <w:noProof/>
        </w:rPr>
        <w:fldChar w:fldCharType="separate"/>
      </w:r>
      <w:r w:rsidR="00816426">
        <w:rPr>
          <w:noProof/>
        </w:rPr>
        <w:t>30</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3.3.1</w:t>
      </w:r>
      <w:r>
        <w:rPr>
          <w:rFonts w:asciiTheme="minorHAnsi" w:eastAsiaTheme="minorEastAsia" w:hAnsiTheme="minorHAnsi"/>
          <w:noProof/>
          <w:lang w:eastAsia="cs-CZ"/>
        </w:rPr>
        <w:tab/>
      </w:r>
      <w:r>
        <w:rPr>
          <w:noProof/>
        </w:rPr>
        <w:t>Nároky na prostor pro nastěhování (bloková chladicí jednotka)</w:t>
      </w:r>
      <w:r>
        <w:rPr>
          <w:noProof/>
        </w:rPr>
        <w:tab/>
      </w:r>
      <w:r>
        <w:rPr>
          <w:noProof/>
        </w:rPr>
        <w:fldChar w:fldCharType="begin"/>
      </w:r>
      <w:r>
        <w:rPr>
          <w:noProof/>
        </w:rPr>
        <w:instrText xml:space="preserve"> PAGEREF _Toc58949360 \h </w:instrText>
      </w:r>
      <w:r>
        <w:rPr>
          <w:noProof/>
        </w:rPr>
      </w:r>
      <w:r>
        <w:rPr>
          <w:noProof/>
        </w:rPr>
        <w:fldChar w:fldCharType="separate"/>
      </w:r>
      <w:r w:rsidR="00816426">
        <w:rPr>
          <w:noProof/>
        </w:rPr>
        <w:t>30</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3.3.2</w:t>
      </w:r>
      <w:r>
        <w:rPr>
          <w:rFonts w:asciiTheme="minorHAnsi" w:eastAsiaTheme="minorEastAsia" w:hAnsiTheme="minorHAnsi"/>
          <w:noProof/>
          <w:lang w:eastAsia="cs-CZ"/>
        </w:rPr>
        <w:tab/>
      </w:r>
      <w:r>
        <w:rPr>
          <w:noProof/>
        </w:rPr>
        <w:t>Varianta B – dodatečná kritéria – závěr</w:t>
      </w:r>
      <w:r>
        <w:rPr>
          <w:noProof/>
        </w:rPr>
        <w:tab/>
      </w:r>
      <w:r>
        <w:rPr>
          <w:noProof/>
        </w:rPr>
        <w:fldChar w:fldCharType="begin"/>
      </w:r>
      <w:r>
        <w:rPr>
          <w:noProof/>
        </w:rPr>
        <w:instrText xml:space="preserve"> PAGEREF _Toc58949361 \h </w:instrText>
      </w:r>
      <w:r>
        <w:rPr>
          <w:noProof/>
        </w:rPr>
      </w:r>
      <w:r>
        <w:rPr>
          <w:noProof/>
        </w:rPr>
        <w:fldChar w:fldCharType="separate"/>
      </w:r>
      <w:r w:rsidR="00816426">
        <w:rPr>
          <w:noProof/>
        </w:rPr>
        <w:t>30</w:t>
      </w:r>
      <w:r>
        <w:rPr>
          <w:noProof/>
        </w:rPr>
        <w:fldChar w:fldCharType="end"/>
      </w:r>
    </w:p>
    <w:p w:rsidR="0006071D" w:rsidRDefault="0006071D">
      <w:pPr>
        <w:pStyle w:val="Obsah1"/>
        <w:tabs>
          <w:tab w:val="left" w:pos="440"/>
        </w:tabs>
        <w:rPr>
          <w:rFonts w:asciiTheme="minorHAnsi" w:eastAsiaTheme="minorEastAsia" w:hAnsiTheme="minorHAnsi"/>
          <w:noProof/>
          <w:lang w:eastAsia="cs-CZ"/>
        </w:rPr>
      </w:pPr>
      <w:r>
        <w:rPr>
          <w:noProof/>
        </w:rPr>
        <w:t>4</w:t>
      </w:r>
      <w:r>
        <w:rPr>
          <w:rFonts w:asciiTheme="minorHAnsi" w:eastAsiaTheme="minorEastAsia" w:hAnsiTheme="minorHAnsi"/>
          <w:noProof/>
          <w:lang w:eastAsia="cs-CZ"/>
        </w:rPr>
        <w:tab/>
      </w:r>
      <w:r>
        <w:rPr>
          <w:noProof/>
        </w:rPr>
        <w:t>TECHNICKÉ A TECHNOLOGICKÉ ŘEŠENÍ PROJEKTU</w:t>
      </w:r>
      <w:r>
        <w:rPr>
          <w:noProof/>
        </w:rPr>
        <w:tab/>
      </w:r>
      <w:r>
        <w:rPr>
          <w:noProof/>
        </w:rPr>
        <w:fldChar w:fldCharType="begin"/>
      </w:r>
      <w:r>
        <w:rPr>
          <w:noProof/>
        </w:rPr>
        <w:instrText xml:space="preserve"> PAGEREF _Toc58949362 \h </w:instrText>
      </w:r>
      <w:r>
        <w:rPr>
          <w:noProof/>
        </w:rPr>
      </w:r>
      <w:r>
        <w:rPr>
          <w:noProof/>
        </w:rPr>
        <w:fldChar w:fldCharType="separate"/>
      </w:r>
      <w:r w:rsidR="00816426">
        <w:rPr>
          <w:noProof/>
        </w:rPr>
        <w:t>30</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4.1</w:t>
      </w:r>
      <w:r>
        <w:rPr>
          <w:rFonts w:asciiTheme="minorHAnsi" w:eastAsiaTheme="minorEastAsia" w:hAnsiTheme="minorHAnsi"/>
          <w:noProof/>
          <w:lang w:eastAsia="cs-CZ"/>
        </w:rPr>
        <w:tab/>
      </w:r>
      <w:r>
        <w:rPr>
          <w:noProof/>
        </w:rPr>
        <w:t>Varianta B – KGJ + bloková chladicí jednotka</w:t>
      </w:r>
      <w:r>
        <w:rPr>
          <w:noProof/>
        </w:rPr>
        <w:tab/>
      </w:r>
      <w:r>
        <w:rPr>
          <w:noProof/>
        </w:rPr>
        <w:fldChar w:fldCharType="begin"/>
      </w:r>
      <w:r>
        <w:rPr>
          <w:noProof/>
        </w:rPr>
        <w:instrText xml:space="preserve"> PAGEREF _Toc58949363 \h </w:instrText>
      </w:r>
      <w:r>
        <w:rPr>
          <w:noProof/>
        </w:rPr>
      </w:r>
      <w:r>
        <w:rPr>
          <w:noProof/>
        </w:rPr>
        <w:fldChar w:fldCharType="separate"/>
      </w:r>
      <w:r w:rsidR="00816426">
        <w:rPr>
          <w:noProof/>
        </w:rPr>
        <w:t>31</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w:t>
      </w:r>
      <w:r>
        <w:rPr>
          <w:rFonts w:asciiTheme="minorHAnsi" w:eastAsiaTheme="minorEastAsia" w:hAnsiTheme="minorHAnsi"/>
          <w:noProof/>
          <w:lang w:eastAsia="cs-CZ"/>
        </w:rPr>
        <w:tab/>
      </w:r>
      <w:r>
        <w:rPr>
          <w:noProof/>
        </w:rPr>
        <w:t>Parametry KGJ, investiční náklady</w:t>
      </w:r>
      <w:r>
        <w:rPr>
          <w:noProof/>
        </w:rPr>
        <w:tab/>
      </w:r>
      <w:r>
        <w:rPr>
          <w:noProof/>
        </w:rPr>
        <w:fldChar w:fldCharType="begin"/>
      </w:r>
      <w:r>
        <w:rPr>
          <w:noProof/>
        </w:rPr>
        <w:instrText xml:space="preserve"> PAGEREF _Toc58949364 \h </w:instrText>
      </w:r>
      <w:r>
        <w:rPr>
          <w:noProof/>
        </w:rPr>
      </w:r>
      <w:r>
        <w:rPr>
          <w:noProof/>
        </w:rPr>
        <w:fldChar w:fldCharType="separate"/>
      </w:r>
      <w:r w:rsidR="00816426">
        <w:rPr>
          <w:noProof/>
        </w:rPr>
        <w:t>31</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4.1.2</w:t>
      </w:r>
      <w:r>
        <w:rPr>
          <w:rFonts w:asciiTheme="minorHAnsi" w:eastAsiaTheme="minorEastAsia" w:hAnsiTheme="minorHAnsi"/>
          <w:noProof/>
          <w:lang w:eastAsia="cs-CZ"/>
        </w:rPr>
        <w:tab/>
      </w:r>
      <w:r>
        <w:rPr>
          <w:noProof/>
        </w:rPr>
        <w:t>Modulace výkonu KGJ</w:t>
      </w:r>
      <w:r>
        <w:rPr>
          <w:noProof/>
        </w:rPr>
        <w:tab/>
      </w:r>
      <w:r>
        <w:rPr>
          <w:noProof/>
        </w:rPr>
        <w:fldChar w:fldCharType="begin"/>
      </w:r>
      <w:r>
        <w:rPr>
          <w:noProof/>
        </w:rPr>
        <w:instrText xml:space="preserve"> PAGEREF _Toc58949365 \h </w:instrText>
      </w:r>
      <w:r>
        <w:rPr>
          <w:noProof/>
        </w:rPr>
      </w:r>
      <w:r>
        <w:rPr>
          <w:noProof/>
        </w:rPr>
        <w:fldChar w:fldCharType="separate"/>
      </w:r>
      <w:r w:rsidR="00816426">
        <w:rPr>
          <w:noProof/>
        </w:rPr>
        <w:t>32</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4.1.3</w:t>
      </w:r>
      <w:r>
        <w:rPr>
          <w:rFonts w:asciiTheme="minorHAnsi" w:eastAsiaTheme="minorEastAsia" w:hAnsiTheme="minorHAnsi"/>
          <w:noProof/>
          <w:lang w:eastAsia="cs-CZ"/>
        </w:rPr>
        <w:tab/>
      </w:r>
      <w:r>
        <w:rPr>
          <w:noProof/>
        </w:rPr>
        <w:t>Doprava a montáž KGJ</w:t>
      </w:r>
      <w:r>
        <w:rPr>
          <w:noProof/>
        </w:rPr>
        <w:tab/>
      </w:r>
      <w:r>
        <w:rPr>
          <w:noProof/>
        </w:rPr>
        <w:fldChar w:fldCharType="begin"/>
      </w:r>
      <w:r>
        <w:rPr>
          <w:noProof/>
        </w:rPr>
        <w:instrText xml:space="preserve"> PAGEREF _Toc58949366 \h </w:instrText>
      </w:r>
      <w:r>
        <w:rPr>
          <w:noProof/>
        </w:rPr>
      </w:r>
      <w:r>
        <w:rPr>
          <w:noProof/>
        </w:rPr>
        <w:fldChar w:fldCharType="separate"/>
      </w:r>
      <w:r w:rsidR="00816426">
        <w:rPr>
          <w:noProof/>
        </w:rPr>
        <w:t>32</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4.1.4</w:t>
      </w:r>
      <w:r>
        <w:rPr>
          <w:rFonts w:asciiTheme="minorHAnsi" w:eastAsiaTheme="minorEastAsia" w:hAnsiTheme="minorHAnsi"/>
          <w:noProof/>
          <w:lang w:eastAsia="cs-CZ"/>
        </w:rPr>
        <w:tab/>
      </w:r>
      <w:r>
        <w:rPr>
          <w:noProof/>
        </w:rPr>
        <w:t>Režim provozu KGJ, případná porucha</w:t>
      </w:r>
      <w:r>
        <w:rPr>
          <w:noProof/>
        </w:rPr>
        <w:tab/>
      </w:r>
      <w:r>
        <w:rPr>
          <w:noProof/>
        </w:rPr>
        <w:fldChar w:fldCharType="begin"/>
      </w:r>
      <w:r>
        <w:rPr>
          <w:noProof/>
        </w:rPr>
        <w:instrText xml:space="preserve"> PAGEREF _Toc58949367 \h </w:instrText>
      </w:r>
      <w:r>
        <w:rPr>
          <w:noProof/>
        </w:rPr>
      </w:r>
      <w:r>
        <w:rPr>
          <w:noProof/>
        </w:rPr>
        <w:fldChar w:fldCharType="separate"/>
      </w:r>
      <w:r w:rsidR="00816426">
        <w:rPr>
          <w:noProof/>
        </w:rPr>
        <w:t>34</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4.1.5</w:t>
      </w:r>
      <w:r>
        <w:rPr>
          <w:rFonts w:asciiTheme="minorHAnsi" w:eastAsiaTheme="minorEastAsia" w:hAnsiTheme="minorHAnsi"/>
          <w:noProof/>
          <w:lang w:eastAsia="cs-CZ"/>
        </w:rPr>
        <w:tab/>
      </w:r>
      <w:r>
        <w:rPr>
          <w:noProof/>
        </w:rPr>
        <w:t>Splnění emisních limitů</w:t>
      </w:r>
      <w:r>
        <w:rPr>
          <w:noProof/>
        </w:rPr>
        <w:tab/>
      </w:r>
      <w:r>
        <w:rPr>
          <w:noProof/>
        </w:rPr>
        <w:fldChar w:fldCharType="begin"/>
      </w:r>
      <w:r>
        <w:rPr>
          <w:noProof/>
        </w:rPr>
        <w:instrText xml:space="preserve"> PAGEREF _Toc58949368 \h </w:instrText>
      </w:r>
      <w:r>
        <w:rPr>
          <w:noProof/>
        </w:rPr>
      </w:r>
      <w:r>
        <w:rPr>
          <w:noProof/>
        </w:rPr>
        <w:fldChar w:fldCharType="separate"/>
      </w:r>
      <w:r w:rsidR="00816426">
        <w:rPr>
          <w:noProof/>
        </w:rPr>
        <w:t>37</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4.1.6</w:t>
      </w:r>
      <w:r>
        <w:rPr>
          <w:rFonts w:asciiTheme="minorHAnsi" w:eastAsiaTheme="minorEastAsia" w:hAnsiTheme="minorHAnsi"/>
          <w:noProof/>
          <w:lang w:eastAsia="cs-CZ"/>
        </w:rPr>
        <w:tab/>
      </w:r>
      <w:r>
        <w:rPr>
          <w:noProof/>
        </w:rPr>
        <w:t>Provozní náklady KGJ</w:t>
      </w:r>
      <w:r>
        <w:rPr>
          <w:noProof/>
        </w:rPr>
        <w:tab/>
      </w:r>
      <w:r>
        <w:rPr>
          <w:noProof/>
        </w:rPr>
        <w:fldChar w:fldCharType="begin"/>
      </w:r>
      <w:r>
        <w:rPr>
          <w:noProof/>
        </w:rPr>
        <w:instrText xml:space="preserve"> PAGEREF _Toc58949369 \h </w:instrText>
      </w:r>
      <w:r>
        <w:rPr>
          <w:noProof/>
        </w:rPr>
      </w:r>
      <w:r>
        <w:rPr>
          <w:noProof/>
        </w:rPr>
        <w:fldChar w:fldCharType="separate"/>
      </w:r>
      <w:r w:rsidR="00816426">
        <w:rPr>
          <w:noProof/>
        </w:rPr>
        <w:t>40</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4.1.7</w:t>
      </w:r>
      <w:r>
        <w:rPr>
          <w:rFonts w:asciiTheme="minorHAnsi" w:eastAsiaTheme="minorEastAsia" w:hAnsiTheme="minorHAnsi"/>
          <w:noProof/>
          <w:lang w:eastAsia="cs-CZ"/>
        </w:rPr>
        <w:tab/>
      </w:r>
      <w:r>
        <w:rPr>
          <w:noProof/>
        </w:rPr>
        <w:t>Akumulace tepla vyrobeného KGJ</w:t>
      </w:r>
      <w:r>
        <w:rPr>
          <w:noProof/>
        </w:rPr>
        <w:tab/>
      </w:r>
      <w:r>
        <w:rPr>
          <w:noProof/>
        </w:rPr>
        <w:fldChar w:fldCharType="begin"/>
      </w:r>
      <w:r>
        <w:rPr>
          <w:noProof/>
        </w:rPr>
        <w:instrText xml:space="preserve"> PAGEREF _Toc58949370 \h </w:instrText>
      </w:r>
      <w:r>
        <w:rPr>
          <w:noProof/>
        </w:rPr>
      </w:r>
      <w:r>
        <w:rPr>
          <w:noProof/>
        </w:rPr>
        <w:fldChar w:fldCharType="separate"/>
      </w:r>
      <w:r w:rsidR="00816426">
        <w:rPr>
          <w:noProof/>
        </w:rPr>
        <w:t>41</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4.1.8</w:t>
      </w:r>
      <w:r>
        <w:rPr>
          <w:rFonts w:asciiTheme="minorHAnsi" w:eastAsiaTheme="minorEastAsia" w:hAnsiTheme="minorHAnsi"/>
          <w:noProof/>
          <w:lang w:eastAsia="cs-CZ"/>
        </w:rPr>
        <w:tab/>
      </w:r>
      <w:r>
        <w:rPr>
          <w:noProof/>
        </w:rPr>
        <w:t>Měření a regulace</w:t>
      </w:r>
      <w:r>
        <w:rPr>
          <w:noProof/>
        </w:rPr>
        <w:tab/>
      </w:r>
      <w:r>
        <w:rPr>
          <w:noProof/>
        </w:rPr>
        <w:fldChar w:fldCharType="begin"/>
      </w:r>
      <w:r>
        <w:rPr>
          <w:noProof/>
        </w:rPr>
        <w:instrText xml:space="preserve"> PAGEREF _Toc58949371 \h </w:instrText>
      </w:r>
      <w:r>
        <w:rPr>
          <w:noProof/>
        </w:rPr>
      </w:r>
      <w:r>
        <w:rPr>
          <w:noProof/>
        </w:rPr>
        <w:fldChar w:fldCharType="separate"/>
      </w:r>
      <w:r w:rsidR="00816426">
        <w:rPr>
          <w:noProof/>
        </w:rPr>
        <w:t>42</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4.1.9</w:t>
      </w:r>
      <w:r>
        <w:rPr>
          <w:rFonts w:asciiTheme="minorHAnsi" w:eastAsiaTheme="minorEastAsia" w:hAnsiTheme="minorHAnsi"/>
          <w:noProof/>
          <w:lang w:eastAsia="cs-CZ"/>
        </w:rPr>
        <w:tab/>
      </w:r>
      <w:r>
        <w:rPr>
          <w:noProof/>
        </w:rPr>
        <w:t>Vyvedení elektrického výkonu</w:t>
      </w:r>
      <w:r>
        <w:rPr>
          <w:noProof/>
        </w:rPr>
        <w:tab/>
      </w:r>
      <w:r>
        <w:rPr>
          <w:noProof/>
        </w:rPr>
        <w:fldChar w:fldCharType="begin"/>
      </w:r>
      <w:r>
        <w:rPr>
          <w:noProof/>
        </w:rPr>
        <w:instrText xml:space="preserve"> PAGEREF _Toc58949372 \h </w:instrText>
      </w:r>
      <w:r>
        <w:rPr>
          <w:noProof/>
        </w:rPr>
      </w:r>
      <w:r>
        <w:rPr>
          <w:noProof/>
        </w:rPr>
        <w:fldChar w:fldCharType="separate"/>
      </w:r>
      <w:r w:rsidR="00816426">
        <w:rPr>
          <w:noProof/>
        </w:rPr>
        <w:t>43</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4.1.10</w:t>
      </w:r>
      <w:r>
        <w:rPr>
          <w:rFonts w:asciiTheme="minorHAnsi" w:eastAsiaTheme="minorEastAsia" w:hAnsiTheme="minorHAnsi"/>
          <w:noProof/>
          <w:lang w:eastAsia="cs-CZ"/>
        </w:rPr>
        <w:tab/>
      </w:r>
      <w:r>
        <w:rPr>
          <w:noProof/>
        </w:rPr>
        <w:t>Větrání kotelny</w:t>
      </w:r>
      <w:r>
        <w:rPr>
          <w:noProof/>
        </w:rPr>
        <w:tab/>
      </w:r>
      <w:r>
        <w:rPr>
          <w:noProof/>
        </w:rPr>
        <w:fldChar w:fldCharType="begin"/>
      </w:r>
      <w:r>
        <w:rPr>
          <w:noProof/>
        </w:rPr>
        <w:instrText xml:space="preserve"> PAGEREF _Toc58949373 \h </w:instrText>
      </w:r>
      <w:r>
        <w:rPr>
          <w:noProof/>
        </w:rPr>
      </w:r>
      <w:r>
        <w:rPr>
          <w:noProof/>
        </w:rPr>
        <w:fldChar w:fldCharType="separate"/>
      </w:r>
      <w:r w:rsidR="00816426">
        <w:rPr>
          <w:noProof/>
        </w:rPr>
        <w:t>44</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4.1.11</w:t>
      </w:r>
      <w:r>
        <w:rPr>
          <w:rFonts w:asciiTheme="minorHAnsi" w:eastAsiaTheme="minorEastAsia" w:hAnsiTheme="minorHAnsi"/>
          <w:noProof/>
          <w:lang w:eastAsia="cs-CZ"/>
        </w:rPr>
        <w:tab/>
      </w:r>
      <w:r>
        <w:rPr>
          <w:noProof/>
        </w:rPr>
        <w:t>Odkouření</w:t>
      </w:r>
      <w:r>
        <w:rPr>
          <w:noProof/>
        </w:rPr>
        <w:tab/>
      </w:r>
      <w:r>
        <w:rPr>
          <w:noProof/>
        </w:rPr>
        <w:fldChar w:fldCharType="begin"/>
      </w:r>
      <w:r>
        <w:rPr>
          <w:noProof/>
        </w:rPr>
        <w:instrText xml:space="preserve"> PAGEREF _Toc58949374 \h </w:instrText>
      </w:r>
      <w:r>
        <w:rPr>
          <w:noProof/>
        </w:rPr>
      </w:r>
      <w:r>
        <w:rPr>
          <w:noProof/>
        </w:rPr>
        <w:fldChar w:fldCharType="separate"/>
      </w:r>
      <w:r w:rsidR="00816426">
        <w:rPr>
          <w:noProof/>
        </w:rPr>
        <w:t>47</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4.1.12</w:t>
      </w:r>
      <w:r>
        <w:rPr>
          <w:rFonts w:asciiTheme="minorHAnsi" w:eastAsiaTheme="minorEastAsia" w:hAnsiTheme="minorHAnsi"/>
          <w:noProof/>
          <w:lang w:eastAsia="cs-CZ"/>
        </w:rPr>
        <w:tab/>
      </w:r>
      <w:r>
        <w:rPr>
          <w:noProof/>
        </w:rPr>
        <w:t>Parametry kompresorového chlazení, investiční náklady</w:t>
      </w:r>
      <w:r>
        <w:rPr>
          <w:noProof/>
        </w:rPr>
        <w:tab/>
      </w:r>
      <w:r>
        <w:rPr>
          <w:noProof/>
        </w:rPr>
        <w:fldChar w:fldCharType="begin"/>
      </w:r>
      <w:r>
        <w:rPr>
          <w:noProof/>
        </w:rPr>
        <w:instrText xml:space="preserve"> PAGEREF _Toc58949375 \h </w:instrText>
      </w:r>
      <w:r>
        <w:rPr>
          <w:noProof/>
        </w:rPr>
      </w:r>
      <w:r>
        <w:rPr>
          <w:noProof/>
        </w:rPr>
        <w:fldChar w:fldCharType="separate"/>
      </w:r>
      <w:r w:rsidR="00816426">
        <w:rPr>
          <w:noProof/>
        </w:rPr>
        <w:t>47</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4.1.13</w:t>
      </w:r>
      <w:r>
        <w:rPr>
          <w:rFonts w:asciiTheme="minorHAnsi" w:eastAsiaTheme="minorEastAsia" w:hAnsiTheme="minorHAnsi"/>
          <w:noProof/>
          <w:lang w:eastAsia="cs-CZ"/>
        </w:rPr>
        <w:tab/>
      </w:r>
      <w:r>
        <w:rPr>
          <w:noProof/>
        </w:rPr>
        <w:t>Doprava a montáž kompresorové chladicí jednotky</w:t>
      </w:r>
      <w:r>
        <w:rPr>
          <w:noProof/>
        </w:rPr>
        <w:tab/>
      </w:r>
      <w:r>
        <w:rPr>
          <w:noProof/>
        </w:rPr>
        <w:fldChar w:fldCharType="begin"/>
      </w:r>
      <w:r>
        <w:rPr>
          <w:noProof/>
        </w:rPr>
        <w:instrText xml:space="preserve"> PAGEREF _Toc58949376 \h </w:instrText>
      </w:r>
      <w:r>
        <w:rPr>
          <w:noProof/>
        </w:rPr>
      </w:r>
      <w:r>
        <w:rPr>
          <w:noProof/>
        </w:rPr>
        <w:fldChar w:fldCharType="separate"/>
      </w:r>
      <w:r w:rsidR="00816426">
        <w:rPr>
          <w:noProof/>
        </w:rPr>
        <w:t>48</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4.1.14</w:t>
      </w:r>
      <w:r>
        <w:rPr>
          <w:rFonts w:asciiTheme="minorHAnsi" w:eastAsiaTheme="minorEastAsia" w:hAnsiTheme="minorHAnsi"/>
          <w:noProof/>
          <w:lang w:eastAsia="cs-CZ"/>
        </w:rPr>
        <w:tab/>
      </w:r>
      <w:r>
        <w:rPr>
          <w:noProof/>
        </w:rPr>
        <w:t>Režim provozu kompresorového chlazení</w:t>
      </w:r>
      <w:r>
        <w:rPr>
          <w:noProof/>
        </w:rPr>
        <w:tab/>
      </w:r>
      <w:r>
        <w:rPr>
          <w:noProof/>
        </w:rPr>
        <w:fldChar w:fldCharType="begin"/>
      </w:r>
      <w:r>
        <w:rPr>
          <w:noProof/>
        </w:rPr>
        <w:instrText xml:space="preserve"> PAGEREF _Toc58949377 \h </w:instrText>
      </w:r>
      <w:r>
        <w:rPr>
          <w:noProof/>
        </w:rPr>
      </w:r>
      <w:r>
        <w:rPr>
          <w:noProof/>
        </w:rPr>
        <w:fldChar w:fldCharType="separate"/>
      </w:r>
      <w:r w:rsidR="00816426">
        <w:rPr>
          <w:noProof/>
        </w:rPr>
        <w:t>49</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4.1.15</w:t>
      </w:r>
      <w:r>
        <w:rPr>
          <w:rFonts w:asciiTheme="minorHAnsi" w:eastAsiaTheme="minorEastAsia" w:hAnsiTheme="minorHAnsi"/>
          <w:noProof/>
          <w:lang w:eastAsia="cs-CZ"/>
        </w:rPr>
        <w:tab/>
      </w:r>
      <w:r>
        <w:rPr>
          <w:noProof/>
        </w:rPr>
        <w:t>Provozní náklady kompresorového chlazení</w:t>
      </w:r>
      <w:r>
        <w:rPr>
          <w:noProof/>
        </w:rPr>
        <w:tab/>
      </w:r>
      <w:r>
        <w:rPr>
          <w:noProof/>
        </w:rPr>
        <w:fldChar w:fldCharType="begin"/>
      </w:r>
      <w:r>
        <w:rPr>
          <w:noProof/>
        </w:rPr>
        <w:instrText xml:space="preserve"> PAGEREF _Toc58949378 \h </w:instrText>
      </w:r>
      <w:r>
        <w:rPr>
          <w:noProof/>
        </w:rPr>
      </w:r>
      <w:r>
        <w:rPr>
          <w:noProof/>
        </w:rPr>
        <w:fldChar w:fldCharType="separate"/>
      </w:r>
      <w:r w:rsidR="00816426">
        <w:rPr>
          <w:noProof/>
        </w:rPr>
        <w:t>50</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4.1.16</w:t>
      </w:r>
      <w:r>
        <w:rPr>
          <w:rFonts w:asciiTheme="minorHAnsi" w:eastAsiaTheme="minorEastAsia" w:hAnsiTheme="minorHAnsi"/>
          <w:noProof/>
          <w:lang w:eastAsia="cs-CZ"/>
        </w:rPr>
        <w:tab/>
      </w:r>
      <w:r>
        <w:rPr>
          <w:noProof/>
        </w:rPr>
        <w:t>Strojovna chladu</w:t>
      </w:r>
      <w:r>
        <w:rPr>
          <w:noProof/>
        </w:rPr>
        <w:tab/>
      </w:r>
      <w:r>
        <w:rPr>
          <w:noProof/>
        </w:rPr>
        <w:fldChar w:fldCharType="begin"/>
      </w:r>
      <w:r>
        <w:rPr>
          <w:noProof/>
        </w:rPr>
        <w:instrText xml:space="preserve"> PAGEREF _Toc58949379 \h </w:instrText>
      </w:r>
      <w:r>
        <w:rPr>
          <w:noProof/>
        </w:rPr>
      </w:r>
      <w:r>
        <w:rPr>
          <w:noProof/>
        </w:rPr>
        <w:fldChar w:fldCharType="separate"/>
      </w:r>
      <w:r w:rsidR="00816426">
        <w:rPr>
          <w:noProof/>
        </w:rPr>
        <w:t>50</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4.1.17</w:t>
      </w:r>
      <w:r>
        <w:rPr>
          <w:rFonts w:asciiTheme="minorHAnsi" w:eastAsiaTheme="minorEastAsia" w:hAnsiTheme="minorHAnsi"/>
          <w:noProof/>
          <w:lang w:eastAsia="cs-CZ"/>
        </w:rPr>
        <w:tab/>
      </w:r>
      <w:r>
        <w:rPr>
          <w:noProof/>
        </w:rPr>
        <w:t>Rozdělení chlazených prostor</w:t>
      </w:r>
      <w:r>
        <w:rPr>
          <w:noProof/>
        </w:rPr>
        <w:tab/>
      </w:r>
      <w:r>
        <w:rPr>
          <w:noProof/>
        </w:rPr>
        <w:fldChar w:fldCharType="begin"/>
      </w:r>
      <w:r>
        <w:rPr>
          <w:noProof/>
        </w:rPr>
        <w:instrText xml:space="preserve"> PAGEREF _Toc58949380 \h </w:instrText>
      </w:r>
      <w:r>
        <w:rPr>
          <w:noProof/>
        </w:rPr>
      </w:r>
      <w:r>
        <w:rPr>
          <w:noProof/>
        </w:rPr>
        <w:fldChar w:fldCharType="separate"/>
      </w:r>
      <w:r w:rsidR="00816426">
        <w:rPr>
          <w:noProof/>
        </w:rPr>
        <w:t>50</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4.1.18</w:t>
      </w:r>
      <w:r>
        <w:rPr>
          <w:rFonts w:asciiTheme="minorHAnsi" w:eastAsiaTheme="minorEastAsia" w:hAnsiTheme="minorHAnsi"/>
          <w:noProof/>
          <w:lang w:eastAsia="cs-CZ"/>
        </w:rPr>
        <w:tab/>
      </w:r>
      <w:r>
        <w:rPr>
          <w:noProof/>
        </w:rPr>
        <w:t>Splnění hlukových limitů</w:t>
      </w:r>
      <w:r>
        <w:rPr>
          <w:noProof/>
        </w:rPr>
        <w:tab/>
      </w:r>
      <w:r>
        <w:rPr>
          <w:noProof/>
        </w:rPr>
        <w:fldChar w:fldCharType="begin"/>
      </w:r>
      <w:r>
        <w:rPr>
          <w:noProof/>
        </w:rPr>
        <w:instrText xml:space="preserve"> PAGEREF _Toc58949381 \h </w:instrText>
      </w:r>
      <w:r>
        <w:rPr>
          <w:noProof/>
        </w:rPr>
      </w:r>
      <w:r>
        <w:rPr>
          <w:noProof/>
        </w:rPr>
        <w:fldChar w:fldCharType="separate"/>
      </w:r>
      <w:r w:rsidR="00816426">
        <w:rPr>
          <w:noProof/>
        </w:rPr>
        <w:t>51</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4.1.19</w:t>
      </w:r>
      <w:r>
        <w:rPr>
          <w:rFonts w:asciiTheme="minorHAnsi" w:eastAsiaTheme="minorEastAsia" w:hAnsiTheme="minorHAnsi"/>
          <w:noProof/>
          <w:lang w:eastAsia="cs-CZ"/>
        </w:rPr>
        <w:tab/>
      </w:r>
      <w:r>
        <w:rPr>
          <w:noProof/>
        </w:rPr>
        <w:t>SWOT analýza</w:t>
      </w:r>
      <w:r>
        <w:rPr>
          <w:noProof/>
        </w:rPr>
        <w:tab/>
      </w:r>
      <w:r>
        <w:rPr>
          <w:noProof/>
        </w:rPr>
        <w:fldChar w:fldCharType="begin"/>
      </w:r>
      <w:r>
        <w:rPr>
          <w:noProof/>
        </w:rPr>
        <w:instrText xml:space="preserve"> PAGEREF _Toc58949382 \h </w:instrText>
      </w:r>
      <w:r>
        <w:rPr>
          <w:noProof/>
        </w:rPr>
      </w:r>
      <w:r>
        <w:rPr>
          <w:noProof/>
        </w:rPr>
        <w:fldChar w:fldCharType="separate"/>
      </w:r>
      <w:r w:rsidR="00816426">
        <w:rPr>
          <w:noProof/>
        </w:rPr>
        <w:t>52</w:t>
      </w:r>
      <w:r>
        <w:rPr>
          <w:noProof/>
        </w:rPr>
        <w:fldChar w:fldCharType="end"/>
      </w:r>
    </w:p>
    <w:p w:rsidR="0006071D" w:rsidRDefault="0006071D">
      <w:pPr>
        <w:pStyle w:val="Obsah1"/>
        <w:tabs>
          <w:tab w:val="left" w:pos="440"/>
        </w:tabs>
        <w:rPr>
          <w:rFonts w:asciiTheme="minorHAnsi" w:eastAsiaTheme="minorEastAsia" w:hAnsiTheme="minorHAnsi"/>
          <w:noProof/>
          <w:lang w:eastAsia="cs-CZ"/>
        </w:rPr>
      </w:pPr>
      <w:r>
        <w:rPr>
          <w:noProof/>
        </w:rPr>
        <w:t>5</w:t>
      </w:r>
      <w:r>
        <w:rPr>
          <w:rFonts w:asciiTheme="minorHAnsi" w:eastAsiaTheme="minorEastAsia" w:hAnsiTheme="minorHAnsi"/>
          <w:noProof/>
          <w:lang w:eastAsia="cs-CZ"/>
        </w:rPr>
        <w:tab/>
      </w:r>
      <w:r>
        <w:rPr>
          <w:noProof/>
        </w:rPr>
        <w:t>ZPŮSOB ZAJIŠTĚNÍ PROJEKTU</w:t>
      </w:r>
      <w:r>
        <w:rPr>
          <w:noProof/>
        </w:rPr>
        <w:tab/>
      </w:r>
      <w:r>
        <w:rPr>
          <w:noProof/>
        </w:rPr>
        <w:fldChar w:fldCharType="begin"/>
      </w:r>
      <w:r>
        <w:rPr>
          <w:noProof/>
        </w:rPr>
        <w:instrText xml:space="preserve"> PAGEREF _Toc58949383 \h </w:instrText>
      </w:r>
      <w:r>
        <w:rPr>
          <w:noProof/>
        </w:rPr>
      </w:r>
      <w:r>
        <w:rPr>
          <w:noProof/>
        </w:rPr>
        <w:fldChar w:fldCharType="separate"/>
      </w:r>
      <w:r w:rsidR="00816426">
        <w:rPr>
          <w:noProof/>
        </w:rPr>
        <w:t>53</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5.1</w:t>
      </w:r>
      <w:r>
        <w:rPr>
          <w:rFonts w:asciiTheme="minorHAnsi" w:eastAsiaTheme="minorEastAsia" w:hAnsiTheme="minorHAnsi"/>
          <w:noProof/>
          <w:lang w:eastAsia="cs-CZ"/>
        </w:rPr>
        <w:tab/>
      </w:r>
      <w:r>
        <w:rPr>
          <w:noProof/>
        </w:rPr>
        <w:t>Varianta B – KGJ + bloková chladicí jednotka</w:t>
      </w:r>
      <w:r>
        <w:rPr>
          <w:noProof/>
        </w:rPr>
        <w:tab/>
      </w:r>
      <w:r>
        <w:rPr>
          <w:noProof/>
        </w:rPr>
        <w:fldChar w:fldCharType="begin"/>
      </w:r>
      <w:r>
        <w:rPr>
          <w:noProof/>
        </w:rPr>
        <w:instrText xml:space="preserve"> PAGEREF _Toc58949384 \h </w:instrText>
      </w:r>
      <w:r>
        <w:rPr>
          <w:noProof/>
        </w:rPr>
      </w:r>
      <w:r>
        <w:rPr>
          <w:noProof/>
        </w:rPr>
        <w:fldChar w:fldCharType="separate"/>
      </w:r>
      <w:r w:rsidR="00816426">
        <w:rPr>
          <w:noProof/>
        </w:rPr>
        <w:t>53</w:t>
      </w:r>
      <w:r>
        <w:rPr>
          <w:noProof/>
        </w:rPr>
        <w:fldChar w:fldCharType="end"/>
      </w:r>
    </w:p>
    <w:p w:rsidR="0006071D" w:rsidRDefault="0006071D">
      <w:pPr>
        <w:pStyle w:val="Obsah1"/>
        <w:tabs>
          <w:tab w:val="left" w:pos="440"/>
        </w:tabs>
        <w:rPr>
          <w:rFonts w:asciiTheme="minorHAnsi" w:eastAsiaTheme="minorEastAsia" w:hAnsiTheme="minorHAnsi"/>
          <w:noProof/>
          <w:lang w:eastAsia="cs-CZ"/>
        </w:rPr>
      </w:pPr>
      <w:r>
        <w:rPr>
          <w:noProof/>
        </w:rPr>
        <w:t>6</w:t>
      </w:r>
      <w:r>
        <w:rPr>
          <w:rFonts w:asciiTheme="minorHAnsi" w:eastAsiaTheme="minorEastAsia" w:hAnsiTheme="minorHAnsi"/>
          <w:noProof/>
          <w:lang w:eastAsia="cs-CZ"/>
        </w:rPr>
        <w:tab/>
      </w:r>
      <w:r>
        <w:rPr>
          <w:noProof/>
        </w:rPr>
        <w:t>ZAJIŠTĚNÍ INVESTIČNÍHO (DLOUHODOBÉHO) MAJETKU</w:t>
      </w:r>
      <w:r>
        <w:rPr>
          <w:noProof/>
        </w:rPr>
        <w:tab/>
      </w:r>
      <w:r>
        <w:rPr>
          <w:noProof/>
        </w:rPr>
        <w:fldChar w:fldCharType="begin"/>
      </w:r>
      <w:r>
        <w:rPr>
          <w:noProof/>
        </w:rPr>
        <w:instrText xml:space="preserve"> PAGEREF _Toc58949385 \h </w:instrText>
      </w:r>
      <w:r>
        <w:rPr>
          <w:noProof/>
        </w:rPr>
      </w:r>
      <w:r>
        <w:rPr>
          <w:noProof/>
        </w:rPr>
        <w:fldChar w:fldCharType="separate"/>
      </w:r>
      <w:r w:rsidR="00816426">
        <w:rPr>
          <w:noProof/>
        </w:rPr>
        <w:t>53</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6.1</w:t>
      </w:r>
      <w:r>
        <w:rPr>
          <w:rFonts w:asciiTheme="minorHAnsi" w:eastAsiaTheme="minorEastAsia" w:hAnsiTheme="minorHAnsi"/>
          <w:noProof/>
          <w:lang w:eastAsia="cs-CZ"/>
        </w:rPr>
        <w:tab/>
      </w:r>
      <w:r>
        <w:rPr>
          <w:noProof/>
        </w:rPr>
        <w:t>Varianta B – KGJ + bloková chladicí jednotka</w:t>
      </w:r>
      <w:r>
        <w:rPr>
          <w:noProof/>
        </w:rPr>
        <w:tab/>
      </w:r>
      <w:r>
        <w:rPr>
          <w:noProof/>
        </w:rPr>
        <w:fldChar w:fldCharType="begin"/>
      </w:r>
      <w:r>
        <w:rPr>
          <w:noProof/>
        </w:rPr>
        <w:instrText xml:space="preserve"> PAGEREF _Toc58949386 \h </w:instrText>
      </w:r>
      <w:r>
        <w:rPr>
          <w:noProof/>
        </w:rPr>
      </w:r>
      <w:r>
        <w:rPr>
          <w:noProof/>
        </w:rPr>
        <w:fldChar w:fldCharType="separate"/>
      </w:r>
      <w:r w:rsidR="00816426">
        <w:rPr>
          <w:noProof/>
        </w:rPr>
        <w:t>53</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6.1.1</w:t>
      </w:r>
      <w:r>
        <w:rPr>
          <w:rFonts w:asciiTheme="minorHAnsi" w:eastAsiaTheme="minorEastAsia" w:hAnsiTheme="minorHAnsi"/>
          <w:noProof/>
          <w:lang w:eastAsia="cs-CZ"/>
        </w:rPr>
        <w:tab/>
      </w:r>
      <w:r>
        <w:rPr>
          <w:noProof/>
        </w:rPr>
        <w:t>Investiční náklady</w:t>
      </w:r>
      <w:r>
        <w:rPr>
          <w:noProof/>
        </w:rPr>
        <w:tab/>
      </w:r>
      <w:r>
        <w:rPr>
          <w:noProof/>
        </w:rPr>
        <w:fldChar w:fldCharType="begin"/>
      </w:r>
      <w:r>
        <w:rPr>
          <w:noProof/>
        </w:rPr>
        <w:instrText xml:space="preserve"> PAGEREF _Toc58949387 \h </w:instrText>
      </w:r>
      <w:r>
        <w:rPr>
          <w:noProof/>
        </w:rPr>
      </w:r>
      <w:r>
        <w:rPr>
          <w:noProof/>
        </w:rPr>
        <w:fldChar w:fldCharType="separate"/>
      </w:r>
      <w:r w:rsidR="00816426">
        <w:rPr>
          <w:noProof/>
        </w:rPr>
        <w:t>54</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6.1.2</w:t>
      </w:r>
      <w:r>
        <w:rPr>
          <w:rFonts w:asciiTheme="minorHAnsi" w:eastAsiaTheme="minorEastAsia" w:hAnsiTheme="minorHAnsi"/>
          <w:noProof/>
          <w:lang w:eastAsia="cs-CZ"/>
        </w:rPr>
        <w:tab/>
      </w:r>
      <w:r>
        <w:rPr>
          <w:noProof/>
        </w:rPr>
        <w:t>Servisní náklady</w:t>
      </w:r>
      <w:r>
        <w:rPr>
          <w:noProof/>
        </w:rPr>
        <w:tab/>
      </w:r>
      <w:r>
        <w:rPr>
          <w:noProof/>
        </w:rPr>
        <w:fldChar w:fldCharType="begin"/>
      </w:r>
      <w:r>
        <w:rPr>
          <w:noProof/>
        </w:rPr>
        <w:instrText xml:space="preserve"> PAGEREF _Toc58949388 \h </w:instrText>
      </w:r>
      <w:r>
        <w:rPr>
          <w:noProof/>
        </w:rPr>
      </w:r>
      <w:r>
        <w:rPr>
          <w:noProof/>
        </w:rPr>
        <w:fldChar w:fldCharType="separate"/>
      </w:r>
      <w:r w:rsidR="00816426">
        <w:rPr>
          <w:noProof/>
        </w:rPr>
        <w:t>56</w:t>
      </w:r>
      <w:r>
        <w:rPr>
          <w:noProof/>
        </w:rPr>
        <w:fldChar w:fldCharType="end"/>
      </w:r>
    </w:p>
    <w:p w:rsidR="0006071D" w:rsidRDefault="0006071D">
      <w:pPr>
        <w:pStyle w:val="Obsah1"/>
        <w:tabs>
          <w:tab w:val="left" w:pos="440"/>
        </w:tabs>
        <w:rPr>
          <w:rFonts w:asciiTheme="minorHAnsi" w:eastAsiaTheme="minorEastAsia" w:hAnsiTheme="minorHAnsi"/>
          <w:noProof/>
          <w:lang w:eastAsia="cs-CZ"/>
        </w:rPr>
      </w:pPr>
      <w:r>
        <w:rPr>
          <w:noProof/>
        </w:rPr>
        <w:t>7</w:t>
      </w:r>
      <w:r>
        <w:rPr>
          <w:rFonts w:asciiTheme="minorHAnsi" w:eastAsiaTheme="minorEastAsia" w:hAnsiTheme="minorHAnsi"/>
          <w:noProof/>
          <w:lang w:eastAsia="cs-CZ"/>
        </w:rPr>
        <w:tab/>
      </w:r>
      <w:r>
        <w:rPr>
          <w:noProof/>
        </w:rPr>
        <w:t>HARMONOGRAM REALIZACE PROJEKTU VČETNĚ ROZPOČTOVÉHO HARMONOGRAMU</w:t>
      </w:r>
      <w:r>
        <w:rPr>
          <w:noProof/>
        </w:rPr>
        <w:tab/>
      </w:r>
      <w:r>
        <w:rPr>
          <w:noProof/>
        </w:rPr>
        <w:fldChar w:fldCharType="begin"/>
      </w:r>
      <w:r>
        <w:rPr>
          <w:noProof/>
        </w:rPr>
        <w:instrText xml:space="preserve"> PAGEREF _Toc58949389 \h </w:instrText>
      </w:r>
      <w:r>
        <w:rPr>
          <w:noProof/>
        </w:rPr>
      </w:r>
      <w:r>
        <w:rPr>
          <w:noProof/>
        </w:rPr>
        <w:fldChar w:fldCharType="separate"/>
      </w:r>
      <w:r w:rsidR="00816426">
        <w:rPr>
          <w:noProof/>
        </w:rPr>
        <w:t>57</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lastRenderedPageBreak/>
        <w:t>7.1</w:t>
      </w:r>
      <w:r>
        <w:rPr>
          <w:rFonts w:asciiTheme="minorHAnsi" w:eastAsiaTheme="minorEastAsia" w:hAnsiTheme="minorHAnsi"/>
          <w:noProof/>
          <w:lang w:eastAsia="cs-CZ"/>
        </w:rPr>
        <w:tab/>
      </w:r>
      <w:r>
        <w:rPr>
          <w:noProof/>
        </w:rPr>
        <w:t>Varianta B – KGJ + bloková chladicí jednotka</w:t>
      </w:r>
      <w:r>
        <w:rPr>
          <w:noProof/>
        </w:rPr>
        <w:tab/>
      </w:r>
      <w:r>
        <w:rPr>
          <w:noProof/>
        </w:rPr>
        <w:fldChar w:fldCharType="begin"/>
      </w:r>
      <w:r>
        <w:rPr>
          <w:noProof/>
        </w:rPr>
        <w:instrText xml:space="preserve"> PAGEREF _Toc58949390 \h </w:instrText>
      </w:r>
      <w:r>
        <w:rPr>
          <w:noProof/>
        </w:rPr>
      </w:r>
      <w:r>
        <w:rPr>
          <w:noProof/>
        </w:rPr>
        <w:fldChar w:fldCharType="separate"/>
      </w:r>
      <w:r w:rsidR="00816426">
        <w:rPr>
          <w:noProof/>
        </w:rPr>
        <w:t>57</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7.1.1</w:t>
      </w:r>
      <w:r>
        <w:rPr>
          <w:rFonts w:asciiTheme="minorHAnsi" w:eastAsiaTheme="minorEastAsia" w:hAnsiTheme="minorHAnsi"/>
          <w:noProof/>
          <w:lang w:eastAsia="cs-CZ"/>
        </w:rPr>
        <w:tab/>
      </w:r>
      <w:r>
        <w:rPr>
          <w:noProof/>
        </w:rPr>
        <w:t>Časový harmonogram realizace projektu</w:t>
      </w:r>
      <w:r>
        <w:rPr>
          <w:noProof/>
        </w:rPr>
        <w:tab/>
      </w:r>
      <w:r>
        <w:rPr>
          <w:noProof/>
        </w:rPr>
        <w:fldChar w:fldCharType="begin"/>
      </w:r>
      <w:r>
        <w:rPr>
          <w:noProof/>
        </w:rPr>
        <w:instrText xml:space="preserve"> PAGEREF _Toc58949391 \h </w:instrText>
      </w:r>
      <w:r>
        <w:rPr>
          <w:noProof/>
        </w:rPr>
      </w:r>
      <w:r>
        <w:rPr>
          <w:noProof/>
        </w:rPr>
        <w:fldChar w:fldCharType="separate"/>
      </w:r>
      <w:r w:rsidR="00816426">
        <w:rPr>
          <w:noProof/>
        </w:rPr>
        <w:t>57</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7.1.2</w:t>
      </w:r>
      <w:r>
        <w:rPr>
          <w:rFonts w:asciiTheme="minorHAnsi" w:eastAsiaTheme="minorEastAsia" w:hAnsiTheme="minorHAnsi"/>
          <w:noProof/>
          <w:lang w:eastAsia="cs-CZ"/>
        </w:rPr>
        <w:tab/>
      </w:r>
      <w:r>
        <w:rPr>
          <w:noProof/>
        </w:rPr>
        <w:t>Rozpočtový harmonogram</w:t>
      </w:r>
      <w:r>
        <w:rPr>
          <w:noProof/>
        </w:rPr>
        <w:tab/>
      </w:r>
      <w:r>
        <w:rPr>
          <w:noProof/>
        </w:rPr>
        <w:fldChar w:fldCharType="begin"/>
      </w:r>
      <w:r>
        <w:rPr>
          <w:noProof/>
        </w:rPr>
        <w:instrText xml:space="preserve"> PAGEREF _Toc58949392 \h </w:instrText>
      </w:r>
      <w:r>
        <w:rPr>
          <w:noProof/>
        </w:rPr>
      </w:r>
      <w:r>
        <w:rPr>
          <w:noProof/>
        </w:rPr>
        <w:fldChar w:fldCharType="separate"/>
      </w:r>
      <w:r w:rsidR="00816426">
        <w:rPr>
          <w:noProof/>
        </w:rPr>
        <w:t>59</w:t>
      </w:r>
      <w:r>
        <w:rPr>
          <w:noProof/>
        </w:rPr>
        <w:fldChar w:fldCharType="end"/>
      </w:r>
    </w:p>
    <w:p w:rsidR="0006071D" w:rsidRDefault="0006071D">
      <w:pPr>
        <w:pStyle w:val="Obsah1"/>
        <w:tabs>
          <w:tab w:val="left" w:pos="440"/>
        </w:tabs>
        <w:rPr>
          <w:rFonts w:asciiTheme="minorHAnsi" w:eastAsiaTheme="minorEastAsia" w:hAnsiTheme="minorHAnsi"/>
          <w:noProof/>
          <w:lang w:eastAsia="cs-CZ"/>
        </w:rPr>
      </w:pPr>
      <w:r>
        <w:rPr>
          <w:noProof/>
        </w:rPr>
        <w:t>8</w:t>
      </w:r>
      <w:r>
        <w:rPr>
          <w:rFonts w:asciiTheme="minorHAnsi" w:eastAsiaTheme="minorEastAsia" w:hAnsiTheme="minorHAnsi"/>
          <w:noProof/>
          <w:lang w:eastAsia="cs-CZ"/>
        </w:rPr>
        <w:tab/>
      </w:r>
      <w:r>
        <w:rPr>
          <w:noProof/>
        </w:rPr>
        <w:t>NAVAZUJÍCÍ STUPEŇ PROJEKTOVÉ DOKUMENTACE</w:t>
      </w:r>
      <w:r>
        <w:rPr>
          <w:noProof/>
        </w:rPr>
        <w:tab/>
      </w:r>
      <w:r>
        <w:rPr>
          <w:noProof/>
        </w:rPr>
        <w:fldChar w:fldCharType="begin"/>
      </w:r>
      <w:r>
        <w:rPr>
          <w:noProof/>
        </w:rPr>
        <w:instrText xml:space="preserve"> PAGEREF _Toc58949393 \h </w:instrText>
      </w:r>
      <w:r>
        <w:rPr>
          <w:noProof/>
        </w:rPr>
      </w:r>
      <w:r>
        <w:rPr>
          <w:noProof/>
        </w:rPr>
        <w:fldChar w:fldCharType="separate"/>
      </w:r>
      <w:r w:rsidR="00816426">
        <w:rPr>
          <w:noProof/>
        </w:rPr>
        <w:t>59</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8.1</w:t>
      </w:r>
      <w:r>
        <w:rPr>
          <w:rFonts w:asciiTheme="minorHAnsi" w:eastAsiaTheme="minorEastAsia" w:hAnsiTheme="minorHAnsi"/>
          <w:noProof/>
          <w:lang w:eastAsia="cs-CZ"/>
        </w:rPr>
        <w:tab/>
      </w:r>
      <w:r>
        <w:rPr>
          <w:noProof/>
        </w:rPr>
        <w:t>Rozsah projektové dokumentace.</w:t>
      </w:r>
      <w:r>
        <w:rPr>
          <w:noProof/>
        </w:rPr>
        <w:tab/>
      </w:r>
      <w:r>
        <w:rPr>
          <w:noProof/>
        </w:rPr>
        <w:fldChar w:fldCharType="begin"/>
      </w:r>
      <w:r>
        <w:rPr>
          <w:noProof/>
        </w:rPr>
        <w:instrText xml:space="preserve"> PAGEREF _Toc58949394 \h </w:instrText>
      </w:r>
      <w:r>
        <w:rPr>
          <w:noProof/>
        </w:rPr>
      </w:r>
      <w:r>
        <w:rPr>
          <w:noProof/>
        </w:rPr>
        <w:fldChar w:fldCharType="separate"/>
      </w:r>
      <w:r w:rsidR="00816426">
        <w:rPr>
          <w:noProof/>
        </w:rPr>
        <w:t>60</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8.1.1</w:t>
      </w:r>
      <w:r>
        <w:rPr>
          <w:rFonts w:asciiTheme="minorHAnsi" w:eastAsiaTheme="minorEastAsia" w:hAnsiTheme="minorHAnsi"/>
          <w:noProof/>
          <w:lang w:eastAsia="cs-CZ"/>
        </w:rPr>
        <w:tab/>
      </w:r>
      <w:r>
        <w:rPr>
          <w:noProof/>
        </w:rPr>
        <w:t>Rozsah a obsah dokumentace pro vydání stavebního povolení.</w:t>
      </w:r>
      <w:r>
        <w:rPr>
          <w:noProof/>
        </w:rPr>
        <w:tab/>
      </w:r>
      <w:r>
        <w:rPr>
          <w:noProof/>
        </w:rPr>
        <w:fldChar w:fldCharType="begin"/>
      </w:r>
      <w:r>
        <w:rPr>
          <w:noProof/>
        </w:rPr>
        <w:instrText xml:space="preserve"> PAGEREF _Toc58949395 \h </w:instrText>
      </w:r>
      <w:r>
        <w:rPr>
          <w:noProof/>
        </w:rPr>
      </w:r>
      <w:r>
        <w:rPr>
          <w:noProof/>
        </w:rPr>
        <w:fldChar w:fldCharType="separate"/>
      </w:r>
      <w:r w:rsidR="00816426">
        <w:rPr>
          <w:noProof/>
        </w:rPr>
        <w:t>60</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8.1.2</w:t>
      </w:r>
      <w:r>
        <w:rPr>
          <w:rFonts w:asciiTheme="minorHAnsi" w:eastAsiaTheme="minorEastAsia" w:hAnsiTheme="minorHAnsi"/>
          <w:noProof/>
          <w:lang w:eastAsia="cs-CZ"/>
        </w:rPr>
        <w:tab/>
      </w:r>
      <w:r>
        <w:rPr>
          <w:noProof/>
        </w:rPr>
        <w:t>Rozsah a obsah dokumentace pro provádění stavby</w:t>
      </w:r>
      <w:r>
        <w:rPr>
          <w:noProof/>
        </w:rPr>
        <w:tab/>
      </w:r>
      <w:r>
        <w:rPr>
          <w:noProof/>
        </w:rPr>
        <w:fldChar w:fldCharType="begin"/>
      </w:r>
      <w:r>
        <w:rPr>
          <w:noProof/>
        </w:rPr>
        <w:instrText xml:space="preserve"> PAGEREF _Toc58949396 \h </w:instrText>
      </w:r>
      <w:r>
        <w:rPr>
          <w:noProof/>
        </w:rPr>
      </w:r>
      <w:r>
        <w:rPr>
          <w:noProof/>
        </w:rPr>
        <w:fldChar w:fldCharType="separate"/>
      </w:r>
      <w:r w:rsidR="00816426">
        <w:rPr>
          <w:noProof/>
        </w:rPr>
        <w:t>62</w:t>
      </w:r>
      <w:r>
        <w:rPr>
          <w:noProof/>
        </w:rPr>
        <w:fldChar w:fldCharType="end"/>
      </w:r>
    </w:p>
    <w:p w:rsidR="0006071D" w:rsidRDefault="0006071D">
      <w:pPr>
        <w:pStyle w:val="Obsah1"/>
        <w:tabs>
          <w:tab w:val="left" w:pos="440"/>
        </w:tabs>
        <w:rPr>
          <w:rFonts w:asciiTheme="minorHAnsi" w:eastAsiaTheme="minorEastAsia" w:hAnsiTheme="minorHAnsi"/>
          <w:noProof/>
          <w:lang w:eastAsia="cs-CZ"/>
        </w:rPr>
      </w:pPr>
      <w:r>
        <w:rPr>
          <w:noProof/>
        </w:rPr>
        <w:t>9</w:t>
      </w:r>
      <w:r>
        <w:rPr>
          <w:rFonts w:asciiTheme="minorHAnsi" w:eastAsiaTheme="minorEastAsia" w:hAnsiTheme="minorHAnsi"/>
          <w:noProof/>
          <w:lang w:eastAsia="cs-CZ"/>
        </w:rPr>
        <w:tab/>
      </w:r>
      <w:r>
        <w:rPr>
          <w:noProof/>
        </w:rPr>
        <w:t>FINANČNÍ ANALÝZA</w:t>
      </w:r>
      <w:r>
        <w:rPr>
          <w:noProof/>
        </w:rPr>
        <w:tab/>
      </w:r>
      <w:r>
        <w:rPr>
          <w:noProof/>
        </w:rPr>
        <w:fldChar w:fldCharType="begin"/>
      </w:r>
      <w:r>
        <w:rPr>
          <w:noProof/>
        </w:rPr>
        <w:instrText xml:space="preserve"> PAGEREF _Toc58949397 \h </w:instrText>
      </w:r>
      <w:r>
        <w:rPr>
          <w:noProof/>
        </w:rPr>
      </w:r>
      <w:r>
        <w:rPr>
          <w:noProof/>
        </w:rPr>
        <w:fldChar w:fldCharType="separate"/>
      </w:r>
      <w:r w:rsidR="00816426">
        <w:rPr>
          <w:noProof/>
        </w:rPr>
        <w:t>62</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9.1.1</w:t>
      </w:r>
      <w:r>
        <w:rPr>
          <w:rFonts w:asciiTheme="minorHAnsi" w:eastAsiaTheme="minorEastAsia" w:hAnsiTheme="minorHAnsi"/>
          <w:noProof/>
          <w:lang w:eastAsia="cs-CZ"/>
        </w:rPr>
        <w:tab/>
      </w:r>
      <w:r>
        <w:rPr>
          <w:noProof/>
        </w:rPr>
        <w:t>Finanční plán</w:t>
      </w:r>
      <w:r>
        <w:rPr>
          <w:noProof/>
        </w:rPr>
        <w:tab/>
      </w:r>
      <w:r>
        <w:rPr>
          <w:noProof/>
        </w:rPr>
        <w:fldChar w:fldCharType="begin"/>
      </w:r>
      <w:r>
        <w:rPr>
          <w:noProof/>
        </w:rPr>
        <w:instrText xml:space="preserve"> PAGEREF _Toc58949398 \h </w:instrText>
      </w:r>
      <w:r>
        <w:rPr>
          <w:noProof/>
        </w:rPr>
      </w:r>
      <w:r>
        <w:rPr>
          <w:noProof/>
        </w:rPr>
        <w:fldChar w:fldCharType="separate"/>
      </w:r>
      <w:r w:rsidR="00816426">
        <w:rPr>
          <w:noProof/>
        </w:rPr>
        <w:t>62</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9.1.2</w:t>
      </w:r>
      <w:r>
        <w:rPr>
          <w:rFonts w:asciiTheme="minorHAnsi" w:eastAsiaTheme="minorEastAsia" w:hAnsiTheme="minorHAnsi"/>
          <w:noProof/>
          <w:lang w:eastAsia="cs-CZ"/>
        </w:rPr>
        <w:tab/>
      </w:r>
      <w:r>
        <w:rPr>
          <w:noProof/>
        </w:rPr>
        <w:t>Využití dotačních titulů pro ČNB</w:t>
      </w:r>
      <w:bookmarkStart w:id="0" w:name="_GoBack"/>
      <w:bookmarkEnd w:id="0"/>
      <w:r>
        <w:rPr>
          <w:noProof/>
        </w:rPr>
        <w:tab/>
      </w:r>
      <w:r>
        <w:rPr>
          <w:noProof/>
        </w:rPr>
        <w:fldChar w:fldCharType="begin"/>
      </w:r>
      <w:r>
        <w:rPr>
          <w:noProof/>
        </w:rPr>
        <w:instrText xml:space="preserve"> PAGEREF _Toc58949399 \h </w:instrText>
      </w:r>
      <w:r>
        <w:rPr>
          <w:noProof/>
        </w:rPr>
      </w:r>
      <w:r>
        <w:rPr>
          <w:noProof/>
        </w:rPr>
        <w:fldChar w:fldCharType="separate"/>
      </w:r>
      <w:r w:rsidR="00816426">
        <w:rPr>
          <w:noProof/>
        </w:rPr>
        <w:t>66</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9.1.3</w:t>
      </w:r>
      <w:r>
        <w:rPr>
          <w:rFonts w:asciiTheme="minorHAnsi" w:eastAsiaTheme="minorEastAsia" w:hAnsiTheme="minorHAnsi"/>
          <w:noProof/>
          <w:lang w:eastAsia="cs-CZ"/>
        </w:rPr>
        <w:tab/>
      </w:r>
      <w:r>
        <w:rPr>
          <w:noProof/>
        </w:rPr>
        <w:t>Popis investiční a nulové varianty</w:t>
      </w:r>
      <w:r>
        <w:rPr>
          <w:noProof/>
        </w:rPr>
        <w:tab/>
      </w:r>
      <w:r>
        <w:rPr>
          <w:noProof/>
        </w:rPr>
        <w:fldChar w:fldCharType="begin"/>
      </w:r>
      <w:r>
        <w:rPr>
          <w:noProof/>
        </w:rPr>
        <w:instrText xml:space="preserve"> PAGEREF _Toc58949400 \h </w:instrText>
      </w:r>
      <w:r>
        <w:rPr>
          <w:noProof/>
        </w:rPr>
      </w:r>
      <w:r>
        <w:rPr>
          <w:noProof/>
        </w:rPr>
        <w:fldChar w:fldCharType="separate"/>
      </w:r>
      <w:r w:rsidR="00816426">
        <w:rPr>
          <w:noProof/>
        </w:rPr>
        <w:t>68</w:t>
      </w:r>
      <w:r>
        <w:rPr>
          <w:noProof/>
        </w:rPr>
        <w:fldChar w:fldCharType="end"/>
      </w:r>
    </w:p>
    <w:p w:rsidR="0006071D" w:rsidRDefault="0006071D">
      <w:pPr>
        <w:pStyle w:val="Obsah3"/>
        <w:tabs>
          <w:tab w:val="left" w:pos="1320"/>
          <w:tab w:val="right" w:leader="dot" w:pos="9062"/>
        </w:tabs>
        <w:rPr>
          <w:rFonts w:asciiTheme="minorHAnsi" w:eastAsiaTheme="minorEastAsia" w:hAnsiTheme="minorHAnsi"/>
          <w:noProof/>
          <w:lang w:eastAsia="cs-CZ"/>
        </w:rPr>
      </w:pPr>
      <w:r>
        <w:rPr>
          <w:noProof/>
        </w:rPr>
        <w:t>9.1.4</w:t>
      </w:r>
      <w:r>
        <w:rPr>
          <w:rFonts w:asciiTheme="minorHAnsi" w:eastAsiaTheme="minorEastAsia" w:hAnsiTheme="minorHAnsi"/>
          <w:noProof/>
          <w:lang w:eastAsia="cs-CZ"/>
        </w:rPr>
        <w:tab/>
      </w:r>
      <w:r>
        <w:rPr>
          <w:noProof/>
        </w:rPr>
        <w:t>Výpočet hodnoty přínosů a výdajů</w:t>
      </w:r>
      <w:r>
        <w:rPr>
          <w:noProof/>
        </w:rPr>
        <w:tab/>
      </w:r>
      <w:r>
        <w:rPr>
          <w:noProof/>
        </w:rPr>
        <w:fldChar w:fldCharType="begin"/>
      </w:r>
      <w:r>
        <w:rPr>
          <w:noProof/>
        </w:rPr>
        <w:instrText xml:space="preserve"> PAGEREF _Toc58949401 \h </w:instrText>
      </w:r>
      <w:r>
        <w:rPr>
          <w:noProof/>
        </w:rPr>
      </w:r>
      <w:r>
        <w:rPr>
          <w:noProof/>
        </w:rPr>
        <w:fldChar w:fldCharType="separate"/>
      </w:r>
      <w:r w:rsidR="00816426">
        <w:rPr>
          <w:noProof/>
        </w:rPr>
        <w:t>69</w:t>
      </w:r>
      <w:r>
        <w:rPr>
          <w:noProof/>
        </w:rPr>
        <w:fldChar w:fldCharType="end"/>
      </w:r>
    </w:p>
    <w:p w:rsidR="0006071D" w:rsidRDefault="0006071D">
      <w:pPr>
        <w:pStyle w:val="Obsah1"/>
        <w:tabs>
          <w:tab w:val="left" w:pos="660"/>
        </w:tabs>
        <w:rPr>
          <w:rFonts w:asciiTheme="minorHAnsi" w:eastAsiaTheme="minorEastAsia" w:hAnsiTheme="minorHAnsi"/>
          <w:noProof/>
          <w:lang w:eastAsia="cs-CZ"/>
        </w:rPr>
      </w:pPr>
      <w:r>
        <w:rPr>
          <w:noProof/>
        </w:rPr>
        <w:t>10</w:t>
      </w:r>
      <w:r>
        <w:rPr>
          <w:rFonts w:asciiTheme="minorHAnsi" w:eastAsiaTheme="minorEastAsia" w:hAnsiTheme="minorHAnsi"/>
          <w:noProof/>
          <w:lang w:eastAsia="cs-CZ"/>
        </w:rPr>
        <w:tab/>
      </w:r>
      <w:r>
        <w:rPr>
          <w:noProof/>
        </w:rPr>
        <w:t>HODNOCENÍ EFEKTIVITY A UDRŽITELNOSTI PROJEKTU</w:t>
      </w:r>
      <w:r>
        <w:rPr>
          <w:noProof/>
        </w:rPr>
        <w:tab/>
      </w:r>
      <w:r>
        <w:rPr>
          <w:noProof/>
        </w:rPr>
        <w:fldChar w:fldCharType="begin"/>
      </w:r>
      <w:r>
        <w:rPr>
          <w:noProof/>
        </w:rPr>
        <w:instrText xml:space="preserve"> PAGEREF _Toc58949402 \h </w:instrText>
      </w:r>
      <w:r>
        <w:rPr>
          <w:noProof/>
        </w:rPr>
      </w:r>
      <w:r>
        <w:rPr>
          <w:noProof/>
        </w:rPr>
        <w:fldChar w:fldCharType="separate"/>
      </w:r>
      <w:r w:rsidR="00816426">
        <w:rPr>
          <w:noProof/>
        </w:rPr>
        <w:t>69</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10.1</w:t>
      </w:r>
      <w:r>
        <w:rPr>
          <w:rFonts w:asciiTheme="minorHAnsi" w:eastAsiaTheme="minorEastAsia" w:hAnsiTheme="minorHAnsi"/>
          <w:noProof/>
          <w:lang w:eastAsia="cs-CZ"/>
        </w:rPr>
        <w:tab/>
      </w:r>
      <w:r>
        <w:rPr>
          <w:noProof/>
        </w:rPr>
        <w:t>Varianta B – KGJ (bez dotace SFŽP ČR)</w:t>
      </w:r>
      <w:r>
        <w:rPr>
          <w:noProof/>
        </w:rPr>
        <w:tab/>
      </w:r>
      <w:r>
        <w:rPr>
          <w:noProof/>
        </w:rPr>
        <w:fldChar w:fldCharType="begin"/>
      </w:r>
      <w:r>
        <w:rPr>
          <w:noProof/>
        </w:rPr>
        <w:instrText xml:space="preserve"> PAGEREF _Toc58949403 \h </w:instrText>
      </w:r>
      <w:r>
        <w:rPr>
          <w:noProof/>
        </w:rPr>
      </w:r>
      <w:r>
        <w:rPr>
          <w:noProof/>
        </w:rPr>
        <w:fldChar w:fldCharType="separate"/>
      </w:r>
      <w:r w:rsidR="00816426">
        <w:rPr>
          <w:noProof/>
        </w:rPr>
        <w:t>70</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10.2</w:t>
      </w:r>
      <w:r>
        <w:rPr>
          <w:rFonts w:asciiTheme="minorHAnsi" w:eastAsiaTheme="minorEastAsia" w:hAnsiTheme="minorHAnsi"/>
          <w:noProof/>
          <w:lang w:eastAsia="cs-CZ"/>
        </w:rPr>
        <w:tab/>
      </w:r>
      <w:r>
        <w:rPr>
          <w:noProof/>
        </w:rPr>
        <w:t>Varianta B – KGJ (s dotací SFŽP ČR)</w:t>
      </w:r>
      <w:r>
        <w:rPr>
          <w:noProof/>
        </w:rPr>
        <w:tab/>
      </w:r>
      <w:r>
        <w:rPr>
          <w:noProof/>
        </w:rPr>
        <w:fldChar w:fldCharType="begin"/>
      </w:r>
      <w:r>
        <w:rPr>
          <w:noProof/>
        </w:rPr>
        <w:instrText xml:space="preserve"> PAGEREF _Toc58949404 \h </w:instrText>
      </w:r>
      <w:r>
        <w:rPr>
          <w:noProof/>
        </w:rPr>
      </w:r>
      <w:r>
        <w:rPr>
          <w:noProof/>
        </w:rPr>
        <w:fldChar w:fldCharType="separate"/>
      </w:r>
      <w:r w:rsidR="00816426">
        <w:rPr>
          <w:noProof/>
        </w:rPr>
        <w:t>71</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10.3</w:t>
      </w:r>
      <w:r>
        <w:rPr>
          <w:rFonts w:asciiTheme="minorHAnsi" w:eastAsiaTheme="minorEastAsia" w:hAnsiTheme="minorHAnsi"/>
          <w:noProof/>
          <w:lang w:eastAsia="cs-CZ"/>
        </w:rPr>
        <w:tab/>
      </w:r>
      <w:r>
        <w:rPr>
          <w:noProof/>
        </w:rPr>
        <w:t>Závěr finanční analýzy</w:t>
      </w:r>
      <w:r>
        <w:rPr>
          <w:noProof/>
        </w:rPr>
        <w:tab/>
      </w:r>
      <w:r>
        <w:rPr>
          <w:noProof/>
        </w:rPr>
        <w:fldChar w:fldCharType="begin"/>
      </w:r>
      <w:r>
        <w:rPr>
          <w:noProof/>
        </w:rPr>
        <w:instrText xml:space="preserve"> PAGEREF _Toc58949405 \h </w:instrText>
      </w:r>
      <w:r>
        <w:rPr>
          <w:noProof/>
        </w:rPr>
      </w:r>
      <w:r>
        <w:rPr>
          <w:noProof/>
        </w:rPr>
        <w:fldChar w:fldCharType="separate"/>
      </w:r>
      <w:r w:rsidR="00816426">
        <w:rPr>
          <w:noProof/>
        </w:rPr>
        <w:t>73</w:t>
      </w:r>
      <w:r>
        <w:rPr>
          <w:noProof/>
        </w:rPr>
        <w:fldChar w:fldCharType="end"/>
      </w:r>
    </w:p>
    <w:p w:rsidR="0006071D" w:rsidRDefault="0006071D">
      <w:pPr>
        <w:pStyle w:val="Obsah1"/>
        <w:tabs>
          <w:tab w:val="left" w:pos="660"/>
        </w:tabs>
        <w:rPr>
          <w:rFonts w:asciiTheme="minorHAnsi" w:eastAsiaTheme="minorEastAsia" w:hAnsiTheme="minorHAnsi"/>
          <w:noProof/>
          <w:lang w:eastAsia="cs-CZ"/>
        </w:rPr>
      </w:pPr>
      <w:r>
        <w:rPr>
          <w:noProof/>
        </w:rPr>
        <w:t>11</w:t>
      </w:r>
      <w:r>
        <w:rPr>
          <w:rFonts w:asciiTheme="minorHAnsi" w:eastAsiaTheme="minorEastAsia" w:hAnsiTheme="minorHAnsi"/>
          <w:noProof/>
          <w:lang w:eastAsia="cs-CZ"/>
        </w:rPr>
        <w:tab/>
      </w:r>
      <w:r>
        <w:rPr>
          <w:noProof/>
        </w:rPr>
        <w:t>ANALÝZA A ŘÍZENÍ RIZIK</w:t>
      </w:r>
      <w:r>
        <w:rPr>
          <w:noProof/>
        </w:rPr>
        <w:tab/>
      </w:r>
      <w:r>
        <w:rPr>
          <w:noProof/>
        </w:rPr>
        <w:fldChar w:fldCharType="begin"/>
      </w:r>
      <w:r>
        <w:rPr>
          <w:noProof/>
        </w:rPr>
        <w:instrText xml:space="preserve"> PAGEREF _Toc58949406 \h </w:instrText>
      </w:r>
      <w:r>
        <w:rPr>
          <w:noProof/>
        </w:rPr>
      </w:r>
      <w:r>
        <w:rPr>
          <w:noProof/>
        </w:rPr>
        <w:fldChar w:fldCharType="separate"/>
      </w:r>
      <w:r w:rsidR="00816426">
        <w:rPr>
          <w:noProof/>
        </w:rPr>
        <w:t>73</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11.1</w:t>
      </w:r>
      <w:r>
        <w:rPr>
          <w:rFonts w:asciiTheme="minorHAnsi" w:eastAsiaTheme="minorEastAsia" w:hAnsiTheme="minorHAnsi"/>
          <w:noProof/>
          <w:lang w:eastAsia="cs-CZ"/>
        </w:rPr>
        <w:tab/>
      </w:r>
      <w:r>
        <w:rPr>
          <w:noProof/>
        </w:rPr>
        <w:t>Emisní limity</w:t>
      </w:r>
      <w:r>
        <w:rPr>
          <w:noProof/>
        </w:rPr>
        <w:tab/>
      </w:r>
      <w:r>
        <w:rPr>
          <w:noProof/>
        </w:rPr>
        <w:fldChar w:fldCharType="begin"/>
      </w:r>
      <w:r>
        <w:rPr>
          <w:noProof/>
        </w:rPr>
        <w:instrText xml:space="preserve"> PAGEREF _Toc58949407 \h </w:instrText>
      </w:r>
      <w:r>
        <w:rPr>
          <w:noProof/>
        </w:rPr>
      </w:r>
      <w:r>
        <w:rPr>
          <w:noProof/>
        </w:rPr>
        <w:fldChar w:fldCharType="separate"/>
      </w:r>
      <w:r w:rsidR="00816426">
        <w:rPr>
          <w:noProof/>
        </w:rPr>
        <w:t>73</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11.2</w:t>
      </w:r>
      <w:r>
        <w:rPr>
          <w:rFonts w:asciiTheme="minorHAnsi" w:eastAsiaTheme="minorEastAsia" w:hAnsiTheme="minorHAnsi"/>
          <w:noProof/>
          <w:lang w:eastAsia="cs-CZ"/>
        </w:rPr>
        <w:tab/>
      </w:r>
      <w:r>
        <w:rPr>
          <w:noProof/>
        </w:rPr>
        <w:t>Nestálost cen energií</w:t>
      </w:r>
      <w:r>
        <w:rPr>
          <w:noProof/>
        </w:rPr>
        <w:tab/>
      </w:r>
      <w:r>
        <w:rPr>
          <w:noProof/>
        </w:rPr>
        <w:fldChar w:fldCharType="begin"/>
      </w:r>
      <w:r>
        <w:rPr>
          <w:noProof/>
        </w:rPr>
        <w:instrText xml:space="preserve"> PAGEREF _Toc58949408 \h </w:instrText>
      </w:r>
      <w:r>
        <w:rPr>
          <w:noProof/>
        </w:rPr>
      </w:r>
      <w:r>
        <w:rPr>
          <w:noProof/>
        </w:rPr>
        <w:fldChar w:fldCharType="separate"/>
      </w:r>
      <w:r w:rsidR="00816426">
        <w:rPr>
          <w:noProof/>
        </w:rPr>
        <w:t>73</w:t>
      </w:r>
      <w:r>
        <w:rPr>
          <w:noProof/>
        </w:rPr>
        <w:fldChar w:fldCharType="end"/>
      </w:r>
    </w:p>
    <w:p w:rsidR="0006071D" w:rsidRDefault="0006071D">
      <w:pPr>
        <w:pStyle w:val="Obsah1"/>
        <w:tabs>
          <w:tab w:val="left" w:pos="660"/>
        </w:tabs>
        <w:rPr>
          <w:rFonts w:asciiTheme="minorHAnsi" w:eastAsiaTheme="minorEastAsia" w:hAnsiTheme="minorHAnsi"/>
          <w:noProof/>
          <w:lang w:eastAsia="cs-CZ"/>
        </w:rPr>
      </w:pPr>
      <w:r>
        <w:rPr>
          <w:noProof/>
        </w:rPr>
        <w:t>12</w:t>
      </w:r>
      <w:r>
        <w:rPr>
          <w:rFonts w:asciiTheme="minorHAnsi" w:eastAsiaTheme="minorEastAsia" w:hAnsiTheme="minorHAnsi"/>
          <w:noProof/>
          <w:lang w:eastAsia="cs-CZ"/>
        </w:rPr>
        <w:tab/>
      </w:r>
      <w:r>
        <w:rPr>
          <w:noProof/>
        </w:rPr>
        <w:t>VLIV PROJEKTU NA ŽIVOTNÍ PROSTŘEDÍ</w:t>
      </w:r>
      <w:r>
        <w:rPr>
          <w:noProof/>
        </w:rPr>
        <w:tab/>
      </w:r>
      <w:r>
        <w:rPr>
          <w:noProof/>
        </w:rPr>
        <w:fldChar w:fldCharType="begin"/>
      </w:r>
      <w:r>
        <w:rPr>
          <w:noProof/>
        </w:rPr>
        <w:instrText xml:space="preserve"> PAGEREF _Toc58949409 \h </w:instrText>
      </w:r>
      <w:r>
        <w:rPr>
          <w:noProof/>
        </w:rPr>
      </w:r>
      <w:r>
        <w:rPr>
          <w:noProof/>
        </w:rPr>
        <w:fldChar w:fldCharType="separate"/>
      </w:r>
      <w:r w:rsidR="00816426">
        <w:rPr>
          <w:noProof/>
        </w:rPr>
        <w:t>73</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12.1</w:t>
      </w:r>
      <w:r>
        <w:rPr>
          <w:rFonts w:asciiTheme="minorHAnsi" w:eastAsiaTheme="minorEastAsia" w:hAnsiTheme="minorHAnsi"/>
          <w:noProof/>
          <w:lang w:eastAsia="cs-CZ"/>
        </w:rPr>
        <w:tab/>
      </w:r>
      <w:r>
        <w:rPr>
          <w:noProof/>
        </w:rPr>
        <w:t>Emisní limity</w:t>
      </w:r>
      <w:r>
        <w:rPr>
          <w:noProof/>
        </w:rPr>
        <w:tab/>
      </w:r>
      <w:r>
        <w:rPr>
          <w:noProof/>
        </w:rPr>
        <w:fldChar w:fldCharType="begin"/>
      </w:r>
      <w:r>
        <w:rPr>
          <w:noProof/>
        </w:rPr>
        <w:instrText xml:space="preserve"> PAGEREF _Toc58949410 \h </w:instrText>
      </w:r>
      <w:r>
        <w:rPr>
          <w:noProof/>
        </w:rPr>
      </w:r>
      <w:r>
        <w:rPr>
          <w:noProof/>
        </w:rPr>
        <w:fldChar w:fldCharType="separate"/>
      </w:r>
      <w:r w:rsidR="00816426">
        <w:rPr>
          <w:noProof/>
        </w:rPr>
        <w:t>73</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12.2</w:t>
      </w:r>
      <w:r>
        <w:rPr>
          <w:rFonts w:asciiTheme="minorHAnsi" w:eastAsiaTheme="minorEastAsia" w:hAnsiTheme="minorHAnsi"/>
          <w:noProof/>
          <w:lang w:eastAsia="cs-CZ"/>
        </w:rPr>
        <w:tab/>
      </w:r>
      <w:r>
        <w:rPr>
          <w:noProof/>
        </w:rPr>
        <w:t>Nakládání s odpady</w:t>
      </w:r>
      <w:r>
        <w:rPr>
          <w:noProof/>
        </w:rPr>
        <w:tab/>
      </w:r>
      <w:r>
        <w:rPr>
          <w:noProof/>
        </w:rPr>
        <w:fldChar w:fldCharType="begin"/>
      </w:r>
      <w:r>
        <w:rPr>
          <w:noProof/>
        </w:rPr>
        <w:instrText xml:space="preserve"> PAGEREF _Toc58949411 \h </w:instrText>
      </w:r>
      <w:r>
        <w:rPr>
          <w:noProof/>
        </w:rPr>
      </w:r>
      <w:r>
        <w:rPr>
          <w:noProof/>
        </w:rPr>
        <w:fldChar w:fldCharType="separate"/>
      </w:r>
      <w:r w:rsidR="00816426">
        <w:rPr>
          <w:noProof/>
        </w:rPr>
        <w:t>73</w:t>
      </w:r>
      <w:r>
        <w:rPr>
          <w:noProof/>
        </w:rPr>
        <w:fldChar w:fldCharType="end"/>
      </w:r>
    </w:p>
    <w:p w:rsidR="0006071D" w:rsidRDefault="0006071D">
      <w:pPr>
        <w:pStyle w:val="Obsah1"/>
        <w:tabs>
          <w:tab w:val="left" w:pos="660"/>
        </w:tabs>
        <w:rPr>
          <w:rFonts w:asciiTheme="minorHAnsi" w:eastAsiaTheme="minorEastAsia" w:hAnsiTheme="minorHAnsi"/>
          <w:noProof/>
          <w:lang w:eastAsia="cs-CZ"/>
        </w:rPr>
      </w:pPr>
      <w:r>
        <w:rPr>
          <w:noProof/>
        </w:rPr>
        <w:t>13</w:t>
      </w:r>
      <w:r>
        <w:rPr>
          <w:rFonts w:asciiTheme="minorHAnsi" w:eastAsiaTheme="minorEastAsia" w:hAnsiTheme="minorHAnsi"/>
          <w:noProof/>
          <w:lang w:eastAsia="cs-CZ"/>
        </w:rPr>
        <w:tab/>
      </w:r>
      <w:r>
        <w:rPr>
          <w:noProof/>
        </w:rPr>
        <w:t>ZÁVĚREČNÉ SHRNUTÍ A ZHODNOCENÍ NA ZÁKLADĚ VÝSLEDKŮ STUDIE</w:t>
      </w:r>
      <w:r>
        <w:rPr>
          <w:noProof/>
        </w:rPr>
        <w:tab/>
      </w:r>
      <w:r>
        <w:rPr>
          <w:noProof/>
        </w:rPr>
        <w:fldChar w:fldCharType="begin"/>
      </w:r>
      <w:r>
        <w:rPr>
          <w:noProof/>
        </w:rPr>
        <w:instrText xml:space="preserve"> PAGEREF _Toc58949412 \h </w:instrText>
      </w:r>
      <w:r>
        <w:rPr>
          <w:noProof/>
        </w:rPr>
      </w:r>
      <w:r>
        <w:rPr>
          <w:noProof/>
        </w:rPr>
        <w:fldChar w:fldCharType="separate"/>
      </w:r>
      <w:r w:rsidR="00816426">
        <w:rPr>
          <w:noProof/>
        </w:rPr>
        <w:t>74</w:t>
      </w:r>
      <w:r>
        <w:rPr>
          <w:noProof/>
        </w:rPr>
        <w:fldChar w:fldCharType="end"/>
      </w:r>
    </w:p>
    <w:p w:rsidR="0006071D" w:rsidRDefault="0006071D">
      <w:pPr>
        <w:pStyle w:val="Obsah1"/>
        <w:tabs>
          <w:tab w:val="left" w:pos="660"/>
        </w:tabs>
        <w:rPr>
          <w:rFonts w:asciiTheme="minorHAnsi" w:eastAsiaTheme="minorEastAsia" w:hAnsiTheme="minorHAnsi"/>
          <w:noProof/>
          <w:lang w:eastAsia="cs-CZ"/>
        </w:rPr>
      </w:pPr>
      <w:r>
        <w:rPr>
          <w:noProof/>
        </w:rPr>
        <w:t>14</w:t>
      </w:r>
      <w:r>
        <w:rPr>
          <w:rFonts w:asciiTheme="minorHAnsi" w:eastAsiaTheme="minorEastAsia" w:hAnsiTheme="minorHAnsi"/>
          <w:noProof/>
          <w:lang w:eastAsia="cs-CZ"/>
        </w:rPr>
        <w:tab/>
      </w:r>
      <w:r>
        <w:rPr>
          <w:noProof/>
        </w:rPr>
        <w:t>UPOZORNĚNÍ A DOPORUČENÍ</w:t>
      </w:r>
      <w:r>
        <w:rPr>
          <w:noProof/>
        </w:rPr>
        <w:tab/>
      </w:r>
      <w:r>
        <w:rPr>
          <w:noProof/>
        </w:rPr>
        <w:fldChar w:fldCharType="begin"/>
      </w:r>
      <w:r>
        <w:rPr>
          <w:noProof/>
        </w:rPr>
        <w:instrText xml:space="preserve"> PAGEREF _Toc58949413 \h </w:instrText>
      </w:r>
      <w:r>
        <w:rPr>
          <w:noProof/>
        </w:rPr>
      </w:r>
      <w:r>
        <w:rPr>
          <w:noProof/>
        </w:rPr>
        <w:fldChar w:fldCharType="separate"/>
      </w:r>
      <w:r w:rsidR="00816426">
        <w:rPr>
          <w:noProof/>
        </w:rPr>
        <w:t>76</w:t>
      </w:r>
      <w:r>
        <w:rPr>
          <w:noProof/>
        </w:rPr>
        <w:fldChar w:fldCharType="end"/>
      </w:r>
    </w:p>
    <w:p w:rsidR="0006071D" w:rsidRDefault="0006071D">
      <w:pPr>
        <w:pStyle w:val="Obsah2"/>
        <w:tabs>
          <w:tab w:val="left" w:pos="880"/>
          <w:tab w:val="right" w:leader="dot" w:pos="9062"/>
        </w:tabs>
        <w:rPr>
          <w:rFonts w:asciiTheme="minorHAnsi" w:eastAsiaTheme="minorEastAsia" w:hAnsiTheme="minorHAnsi"/>
          <w:noProof/>
          <w:lang w:eastAsia="cs-CZ"/>
        </w:rPr>
      </w:pPr>
      <w:r>
        <w:rPr>
          <w:noProof/>
        </w:rPr>
        <w:t>14.2</w:t>
      </w:r>
      <w:r>
        <w:rPr>
          <w:rFonts w:asciiTheme="minorHAnsi" w:eastAsiaTheme="minorEastAsia" w:hAnsiTheme="minorHAnsi"/>
          <w:noProof/>
          <w:lang w:eastAsia="cs-CZ"/>
        </w:rPr>
        <w:tab/>
      </w:r>
      <w:r>
        <w:rPr>
          <w:noProof/>
        </w:rPr>
        <w:t>Doporučené kontakty</w:t>
      </w:r>
      <w:r>
        <w:rPr>
          <w:noProof/>
        </w:rPr>
        <w:tab/>
      </w:r>
      <w:r>
        <w:rPr>
          <w:noProof/>
        </w:rPr>
        <w:fldChar w:fldCharType="begin"/>
      </w:r>
      <w:r>
        <w:rPr>
          <w:noProof/>
        </w:rPr>
        <w:instrText xml:space="preserve"> PAGEREF _Toc58949414 \h </w:instrText>
      </w:r>
      <w:r>
        <w:rPr>
          <w:noProof/>
        </w:rPr>
      </w:r>
      <w:r>
        <w:rPr>
          <w:noProof/>
        </w:rPr>
        <w:fldChar w:fldCharType="separate"/>
      </w:r>
      <w:r w:rsidR="00816426">
        <w:rPr>
          <w:noProof/>
        </w:rPr>
        <w:t>76</w:t>
      </w:r>
      <w:r>
        <w:rPr>
          <w:noProof/>
        </w:rPr>
        <w:fldChar w:fldCharType="end"/>
      </w:r>
    </w:p>
    <w:p w:rsidR="0006071D" w:rsidRDefault="0006071D">
      <w:pPr>
        <w:pStyle w:val="Obsah1"/>
        <w:tabs>
          <w:tab w:val="left" w:pos="660"/>
        </w:tabs>
        <w:rPr>
          <w:rFonts w:asciiTheme="minorHAnsi" w:eastAsiaTheme="minorEastAsia" w:hAnsiTheme="minorHAnsi"/>
          <w:noProof/>
          <w:lang w:eastAsia="cs-CZ"/>
        </w:rPr>
      </w:pPr>
      <w:r>
        <w:rPr>
          <w:noProof/>
        </w:rPr>
        <w:t>15</w:t>
      </w:r>
      <w:r>
        <w:rPr>
          <w:rFonts w:asciiTheme="minorHAnsi" w:eastAsiaTheme="minorEastAsia" w:hAnsiTheme="minorHAnsi"/>
          <w:noProof/>
          <w:lang w:eastAsia="cs-CZ"/>
        </w:rPr>
        <w:tab/>
      </w:r>
      <w:r>
        <w:rPr>
          <w:noProof/>
        </w:rPr>
        <w:t>POUŽITÉ ZDROJE</w:t>
      </w:r>
      <w:r>
        <w:rPr>
          <w:noProof/>
        </w:rPr>
        <w:tab/>
      </w:r>
      <w:r>
        <w:rPr>
          <w:noProof/>
        </w:rPr>
        <w:fldChar w:fldCharType="begin"/>
      </w:r>
      <w:r>
        <w:rPr>
          <w:noProof/>
        </w:rPr>
        <w:instrText xml:space="preserve"> PAGEREF _Toc58949415 \h </w:instrText>
      </w:r>
      <w:r>
        <w:rPr>
          <w:noProof/>
        </w:rPr>
      </w:r>
      <w:r>
        <w:rPr>
          <w:noProof/>
        </w:rPr>
        <w:fldChar w:fldCharType="separate"/>
      </w:r>
      <w:r w:rsidR="00816426">
        <w:rPr>
          <w:noProof/>
        </w:rPr>
        <w:t>78</w:t>
      </w:r>
      <w:r>
        <w:rPr>
          <w:noProof/>
        </w:rPr>
        <w:fldChar w:fldCharType="end"/>
      </w:r>
    </w:p>
    <w:p w:rsidR="0006071D" w:rsidRDefault="0006071D">
      <w:pPr>
        <w:pStyle w:val="Obsah1"/>
        <w:tabs>
          <w:tab w:val="left" w:pos="660"/>
        </w:tabs>
        <w:rPr>
          <w:rFonts w:asciiTheme="minorHAnsi" w:eastAsiaTheme="minorEastAsia" w:hAnsiTheme="minorHAnsi"/>
          <w:noProof/>
          <w:lang w:eastAsia="cs-CZ"/>
        </w:rPr>
      </w:pPr>
      <w:r>
        <w:rPr>
          <w:noProof/>
        </w:rPr>
        <w:t>16</w:t>
      </w:r>
      <w:r>
        <w:rPr>
          <w:rFonts w:asciiTheme="minorHAnsi" w:eastAsiaTheme="minorEastAsia" w:hAnsiTheme="minorHAnsi"/>
          <w:noProof/>
          <w:lang w:eastAsia="cs-CZ"/>
        </w:rPr>
        <w:tab/>
      </w:r>
      <w:r>
        <w:rPr>
          <w:noProof/>
        </w:rPr>
        <w:t>PŘÍLOHY</w:t>
      </w:r>
      <w:r>
        <w:rPr>
          <w:noProof/>
        </w:rPr>
        <w:tab/>
      </w:r>
      <w:r>
        <w:rPr>
          <w:noProof/>
        </w:rPr>
        <w:fldChar w:fldCharType="begin"/>
      </w:r>
      <w:r>
        <w:rPr>
          <w:noProof/>
        </w:rPr>
        <w:instrText xml:space="preserve"> PAGEREF _Toc58949416 \h </w:instrText>
      </w:r>
      <w:r>
        <w:rPr>
          <w:noProof/>
        </w:rPr>
      </w:r>
      <w:r>
        <w:rPr>
          <w:noProof/>
        </w:rPr>
        <w:fldChar w:fldCharType="separate"/>
      </w:r>
      <w:r w:rsidR="00816426">
        <w:rPr>
          <w:noProof/>
        </w:rPr>
        <w:t>79</w:t>
      </w:r>
      <w:r>
        <w:rPr>
          <w:noProof/>
        </w:rPr>
        <w:fldChar w:fldCharType="end"/>
      </w:r>
    </w:p>
    <w:p w:rsidR="00593146" w:rsidRDefault="009C5596" w:rsidP="00593146">
      <w:pPr>
        <w:ind w:firstLine="709"/>
      </w:pPr>
      <w:r>
        <w:fldChar w:fldCharType="end"/>
      </w:r>
    </w:p>
    <w:p w:rsidR="00126044" w:rsidRDefault="00126044">
      <w:pPr>
        <w:spacing w:before="0" w:after="200"/>
        <w:jc w:val="left"/>
        <w:rPr>
          <w:caps/>
        </w:rPr>
        <w:sectPr w:rsidR="00126044" w:rsidSect="00F91C8B">
          <w:type w:val="continuous"/>
          <w:pgSz w:w="11906" w:h="16838"/>
          <w:pgMar w:top="1417" w:right="1417" w:bottom="1417" w:left="1417" w:header="709" w:footer="709" w:gutter="0"/>
          <w:cols w:space="708"/>
          <w:docGrid w:linePitch="360"/>
        </w:sectPr>
      </w:pPr>
    </w:p>
    <w:p w:rsidR="00763674" w:rsidRDefault="00763674" w:rsidP="007F6D22">
      <w:pPr>
        <w:pStyle w:val="Nadpis1"/>
        <w:numPr>
          <w:ilvl w:val="0"/>
          <w:numId w:val="0"/>
        </w:numPr>
        <w:ind w:left="567" w:hanging="567"/>
      </w:pPr>
      <w:bookmarkStart w:id="1" w:name="_Ref56086305"/>
      <w:bookmarkStart w:id="2" w:name="_Toc58949327"/>
      <w:r w:rsidRPr="00AF072D">
        <w:lastRenderedPageBreak/>
        <w:t>ANOTACE</w:t>
      </w:r>
      <w:bookmarkEnd w:id="1"/>
      <w:bookmarkEnd w:id="2"/>
    </w:p>
    <w:p w:rsidR="00763674" w:rsidRDefault="00E17C53" w:rsidP="00E00A73">
      <w:r>
        <w:t xml:space="preserve">Kombinovaná výroba elektřiny a tepla představuje efektivní způsob snížení primární energie. Snižují se tak nároky na kapacitu elektrické distribuční sítě a lze poskytovat </w:t>
      </w:r>
      <w:r w:rsidR="00E00A73">
        <w:t>podpůrné služby pro přenosovou a distribuční soustavu. Při instalaci kogeneračních jednotek je však nutné zohlednit to, aby nedošlo ke zvýšení produkce těch emisí, jejichž koncentrace je v daném místě limitní. Instalace zdroje chladu pak přináší zvýšení kvality prostředí ve vnitřních prostorech, avšak za cenu dalších energetických nákladů.</w:t>
      </w:r>
    </w:p>
    <w:p w:rsidR="00544E51" w:rsidRDefault="00544E51">
      <w:pPr>
        <w:spacing w:before="0" w:after="200"/>
        <w:jc w:val="left"/>
        <w:rPr>
          <w:rFonts w:eastAsiaTheme="majorEastAsia" w:cstheme="majorBidi"/>
          <w:b/>
          <w:sz w:val="36"/>
          <w:szCs w:val="32"/>
        </w:rPr>
      </w:pPr>
      <w:r>
        <w:br w:type="page"/>
      </w:r>
    </w:p>
    <w:p w:rsidR="001D32D7" w:rsidRDefault="00D413A6" w:rsidP="007F6D22">
      <w:pPr>
        <w:pStyle w:val="Nadpis1"/>
        <w:numPr>
          <w:ilvl w:val="0"/>
          <w:numId w:val="0"/>
        </w:numPr>
        <w:ind w:left="567" w:hanging="567"/>
      </w:pPr>
      <w:bookmarkStart w:id="3" w:name="_Toc58949328"/>
      <w:r>
        <w:t xml:space="preserve">IDENTIFIKAČNÍ </w:t>
      </w:r>
      <w:r w:rsidRPr="00D413A6">
        <w:t>ÚDAJE</w:t>
      </w:r>
      <w:r>
        <w:t xml:space="preserve"> STAVBY</w:t>
      </w:r>
      <w:bookmarkEnd w:id="3"/>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296"/>
        <w:gridCol w:w="5702"/>
      </w:tblGrid>
      <w:tr w:rsidR="001D32D7" w:rsidTr="00660177">
        <w:trPr>
          <w:trHeight w:val="907"/>
        </w:trPr>
        <w:tc>
          <w:tcPr>
            <w:tcW w:w="3214" w:type="dxa"/>
          </w:tcPr>
          <w:p w:rsidR="001D32D7" w:rsidRPr="001D32D7" w:rsidRDefault="001D32D7" w:rsidP="00D413A6">
            <w:pPr>
              <w:jc w:val="left"/>
              <w:rPr>
                <w:b/>
                <w:sz w:val="24"/>
                <w:szCs w:val="24"/>
              </w:rPr>
            </w:pPr>
            <w:r w:rsidRPr="001D32D7">
              <w:rPr>
                <w:b/>
                <w:sz w:val="24"/>
                <w:szCs w:val="24"/>
              </w:rPr>
              <w:t>Název stavby</w:t>
            </w:r>
          </w:p>
        </w:tc>
        <w:tc>
          <w:tcPr>
            <w:tcW w:w="296" w:type="dxa"/>
          </w:tcPr>
          <w:p w:rsidR="001D32D7" w:rsidRPr="001D32D7" w:rsidRDefault="001D32D7" w:rsidP="002D1F8E">
            <w:pPr>
              <w:jc w:val="center"/>
              <w:rPr>
                <w:b/>
                <w:sz w:val="24"/>
                <w:szCs w:val="24"/>
              </w:rPr>
            </w:pPr>
            <w:r w:rsidRPr="001D32D7">
              <w:rPr>
                <w:b/>
                <w:sz w:val="24"/>
                <w:szCs w:val="24"/>
              </w:rPr>
              <w:t>:</w:t>
            </w:r>
          </w:p>
        </w:tc>
        <w:tc>
          <w:tcPr>
            <w:tcW w:w="5702" w:type="dxa"/>
          </w:tcPr>
          <w:p w:rsidR="001D32D7" w:rsidRPr="009F68F4" w:rsidRDefault="00036290" w:rsidP="00D413A6">
            <w:pPr>
              <w:jc w:val="left"/>
              <w:rPr>
                <w:b/>
                <w:sz w:val="24"/>
                <w:szCs w:val="24"/>
              </w:rPr>
            </w:pPr>
            <w:r>
              <w:rPr>
                <w:b/>
                <w:sz w:val="24"/>
                <w:szCs w:val="24"/>
              </w:rPr>
              <w:t>Optimalizace vytápění a možnosti dochlazení budovy ústředí ČNB</w:t>
            </w:r>
          </w:p>
        </w:tc>
      </w:tr>
      <w:tr w:rsidR="001D32D7" w:rsidTr="00660177">
        <w:trPr>
          <w:trHeight w:val="907"/>
        </w:trPr>
        <w:tc>
          <w:tcPr>
            <w:tcW w:w="3214" w:type="dxa"/>
          </w:tcPr>
          <w:p w:rsidR="001D32D7" w:rsidRPr="001D32D7" w:rsidRDefault="001D32D7" w:rsidP="00D413A6">
            <w:pPr>
              <w:jc w:val="left"/>
              <w:rPr>
                <w:b/>
                <w:sz w:val="24"/>
                <w:szCs w:val="24"/>
              </w:rPr>
            </w:pPr>
            <w:r w:rsidRPr="001D32D7">
              <w:rPr>
                <w:b/>
                <w:sz w:val="24"/>
                <w:szCs w:val="24"/>
              </w:rPr>
              <w:t>Místo stavby</w:t>
            </w:r>
          </w:p>
        </w:tc>
        <w:tc>
          <w:tcPr>
            <w:tcW w:w="296" w:type="dxa"/>
          </w:tcPr>
          <w:p w:rsidR="001D32D7" w:rsidRPr="001D32D7" w:rsidRDefault="001D32D7" w:rsidP="002D1F8E">
            <w:pPr>
              <w:jc w:val="center"/>
              <w:rPr>
                <w:b/>
                <w:sz w:val="24"/>
                <w:szCs w:val="24"/>
              </w:rPr>
            </w:pPr>
            <w:r w:rsidRPr="001D32D7">
              <w:rPr>
                <w:b/>
                <w:sz w:val="24"/>
                <w:szCs w:val="24"/>
              </w:rPr>
              <w:t>:</w:t>
            </w:r>
          </w:p>
        </w:tc>
        <w:tc>
          <w:tcPr>
            <w:tcW w:w="5702" w:type="dxa"/>
          </w:tcPr>
          <w:p w:rsidR="00036290" w:rsidRPr="009F68F4" w:rsidRDefault="00036290" w:rsidP="00036290">
            <w:pPr>
              <w:jc w:val="left"/>
              <w:rPr>
                <w:b/>
                <w:sz w:val="24"/>
                <w:szCs w:val="24"/>
              </w:rPr>
            </w:pPr>
            <w:r>
              <w:rPr>
                <w:b/>
                <w:sz w:val="24"/>
                <w:szCs w:val="24"/>
              </w:rPr>
              <w:t>Česká národní banka</w:t>
            </w:r>
            <w:r>
              <w:rPr>
                <w:b/>
                <w:sz w:val="24"/>
                <w:szCs w:val="24"/>
              </w:rPr>
              <w:br/>
              <w:t>Na Příkopě 28</w:t>
            </w:r>
            <w:r>
              <w:rPr>
                <w:b/>
                <w:sz w:val="24"/>
                <w:szCs w:val="24"/>
              </w:rPr>
              <w:br/>
              <w:t>115 03 Praha 1</w:t>
            </w:r>
          </w:p>
        </w:tc>
      </w:tr>
      <w:tr w:rsidR="00D515D4" w:rsidTr="00660177">
        <w:trPr>
          <w:trHeight w:val="907"/>
        </w:trPr>
        <w:tc>
          <w:tcPr>
            <w:tcW w:w="3214" w:type="dxa"/>
          </w:tcPr>
          <w:p w:rsidR="00D515D4" w:rsidRPr="001D32D7" w:rsidRDefault="00D515D4" w:rsidP="00D413A6">
            <w:pPr>
              <w:jc w:val="left"/>
              <w:rPr>
                <w:b/>
                <w:sz w:val="24"/>
                <w:szCs w:val="24"/>
              </w:rPr>
            </w:pPr>
            <w:r>
              <w:rPr>
                <w:b/>
                <w:sz w:val="24"/>
                <w:szCs w:val="24"/>
              </w:rPr>
              <w:t>Katastrální území</w:t>
            </w:r>
          </w:p>
        </w:tc>
        <w:tc>
          <w:tcPr>
            <w:tcW w:w="296" w:type="dxa"/>
          </w:tcPr>
          <w:p w:rsidR="00D515D4" w:rsidRPr="001D32D7" w:rsidRDefault="00D515D4" w:rsidP="002D1F8E">
            <w:pPr>
              <w:jc w:val="center"/>
              <w:rPr>
                <w:b/>
                <w:sz w:val="24"/>
                <w:szCs w:val="24"/>
              </w:rPr>
            </w:pPr>
            <w:r>
              <w:rPr>
                <w:b/>
                <w:sz w:val="24"/>
                <w:szCs w:val="24"/>
              </w:rPr>
              <w:t>:</w:t>
            </w:r>
          </w:p>
        </w:tc>
        <w:tc>
          <w:tcPr>
            <w:tcW w:w="5702" w:type="dxa"/>
          </w:tcPr>
          <w:p w:rsidR="00D515D4" w:rsidRPr="00D515D4" w:rsidRDefault="00036290" w:rsidP="00036290">
            <w:pPr>
              <w:jc w:val="left"/>
              <w:rPr>
                <w:b/>
                <w:sz w:val="24"/>
                <w:szCs w:val="24"/>
              </w:rPr>
            </w:pPr>
            <w:r>
              <w:rPr>
                <w:b/>
                <w:sz w:val="24"/>
                <w:szCs w:val="24"/>
              </w:rPr>
              <w:t>Nové Město</w:t>
            </w:r>
            <w:r w:rsidR="00D515D4">
              <w:rPr>
                <w:b/>
                <w:sz w:val="24"/>
                <w:szCs w:val="24"/>
              </w:rPr>
              <w:t xml:space="preserve"> </w:t>
            </w:r>
            <w:r w:rsidR="00D515D4">
              <w:rPr>
                <w:b/>
                <w:sz w:val="24"/>
                <w:szCs w:val="24"/>
                <w:lang w:val="en-US"/>
              </w:rPr>
              <w:t>[</w:t>
            </w:r>
            <w:r>
              <w:rPr>
                <w:b/>
                <w:sz w:val="24"/>
                <w:szCs w:val="24"/>
                <w:lang w:val="en-US"/>
              </w:rPr>
              <w:t>727181</w:t>
            </w:r>
            <w:r w:rsidR="00D515D4">
              <w:rPr>
                <w:b/>
                <w:sz w:val="24"/>
                <w:szCs w:val="24"/>
                <w:lang w:val="en-US"/>
              </w:rPr>
              <w:t>]</w:t>
            </w:r>
          </w:p>
        </w:tc>
      </w:tr>
      <w:tr w:rsidR="001D32D7" w:rsidTr="00660177">
        <w:trPr>
          <w:trHeight w:val="1625"/>
        </w:trPr>
        <w:tc>
          <w:tcPr>
            <w:tcW w:w="3214" w:type="dxa"/>
          </w:tcPr>
          <w:p w:rsidR="001D32D7" w:rsidRPr="001D32D7" w:rsidRDefault="001D32D7" w:rsidP="00D413A6">
            <w:pPr>
              <w:jc w:val="left"/>
              <w:rPr>
                <w:b/>
                <w:sz w:val="24"/>
                <w:szCs w:val="24"/>
              </w:rPr>
            </w:pPr>
            <w:r w:rsidRPr="001D32D7">
              <w:rPr>
                <w:b/>
                <w:sz w:val="24"/>
                <w:szCs w:val="24"/>
              </w:rPr>
              <w:t>Stavebník</w:t>
            </w:r>
          </w:p>
        </w:tc>
        <w:tc>
          <w:tcPr>
            <w:tcW w:w="296" w:type="dxa"/>
          </w:tcPr>
          <w:p w:rsidR="001D32D7" w:rsidRPr="001D32D7" w:rsidRDefault="001D32D7" w:rsidP="002D1F8E">
            <w:pPr>
              <w:jc w:val="center"/>
              <w:rPr>
                <w:b/>
                <w:sz w:val="24"/>
                <w:szCs w:val="24"/>
              </w:rPr>
            </w:pPr>
            <w:r w:rsidRPr="001D32D7">
              <w:rPr>
                <w:b/>
                <w:sz w:val="24"/>
                <w:szCs w:val="24"/>
              </w:rPr>
              <w:t>:</w:t>
            </w:r>
          </w:p>
        </w:tc>
        <w:tc>
          <w:tcPr>
            <w:tcW w:w="5702" w:type="dxa"/>
          </w:tcPr>
          <w:p w:rsidR="001D32D7" w:rsidRDefault="00036290" w:rsidP="00D413A6">
            <w:pPr>
              <w:jc w:val="left"/>
              <w:rPr>
                <w:b/>
                <w:sz w:val="24"/>
                <w:szCs w:val="24"/>
              </w:rPr>
            </w:pPr>
            <w:r>
              <w:rPr>
                <w:b/>
                <w:sz w:val="24"/>
                <w:szCs w:val="24"/>
              </w:rPr>
              <w:t>Česká národní banka</w:t>
            </w:r>
          </w:p>
          <w:p w:rsidR="009F68F4" w:rsidRDefault="00036290" w:rsidP="00D413A6">
            <w:pPr>
              <w:jc w:val="left"/>
              <w:rPr>
                <w:sz w:val="24"/>
                <w:szCs w:val="24"/>
              </w:rPr>
            </w:pPr>
            <w:r>
              <w:rPr>
                <w:sz w:val="24"/>
                <w:szCs w:val="24"/>
              </w:rPr>
              <w:t>Na Příkopě 28</w:t>
            </w:r>
          </w:p>
          <w:p w:rsidR="00AF2996" w:rsidRDefault="00036290" w:rsidP="00D413A6">
            <w:pPr>
              <w:jc w:val="left"/>
              <w:rPr>
                <w:sz w:val="24"/>
                <w:szCs w:val="24"/>
              </w:rPr>
            </w:pPr>
            <w:r>
              <w:rPr>
                <w:sz w:val="24"/>
                <w:szCs w:val="24"/>
              </w:rPr>
              <w:t>115 03 Praha 1</w:t>
            </w:r>
          </w:p>
          <w:p w:rsidR="00AF2996" w:rsidRDefault="00036290" w:rsidP="00D413A6">
            <w:pPr>
              <w:jc w:val="left"/>
              <w:rPr>
                <w:sz w:val="24"/>
                <w:szCs w:val="24"/>
              </w:rPr>
            </w:pPr>
            <w:r>
              <w:rPr>
                <w:sz w:val="24"/>
                <w:szCs w:val="24"/>
              </w:rPr>
              <w:t>IČ: 48136450</w:t>
            </w:r>
          </w:p>
          <w:p w:rsidR="00036290" w:rsidRPr="009F68F4" w:rsidRDefault="00036290" w:rsidP="00D413A6">
            <w:pPr>
              <w:jc w:val="left"/>
              <w:rPr>
                <w:sz w:val="24"/>
                <w:szCs w:val="24"/>
              </w:rPr>
            </w:pPr>
            <w:r>
              <w:rPr>
                <w:sz w:val="24"/>
                <w:szCs w:val="24"/>
              </w:rPr>
              <w:t>DIČ: CZ48136450</w:t>
            </w:r>
          </w:p>
        </w:tc>
      </w:tr>
      <w:tr w:rsidR="001D32D7" w:rsidTr="00B264CE">
        <w:trPr>
          <w:trHeight w:val="1805"/>
        </w:trPr>
        <w:tc>
          <w:tcPr>
            <w:tcW w:w="3214" w:type="dxa"/>
          </w:tcPr>
          <w:p w:rsidR="001D32D7" w:rsidRPr="001D32D7" w:rsidRDefault="001D32D7" w:rsidP="00D413A6">
            <w:pPr>
              <w:jc w:val="left"/>
              <w:rPr>
                <w:b/>
                <w:sz w:val="24"/>
                <w:szCs w:val="24"/>
              </w:rPr>
            </w:pPr>
            <w:r>
              <w:rPr>
                <w:b/>
                <w:sz w:val="24"/>
                <w:szCs w:val="24"/>
              </w:rPr>
              <w:t>Generální projektant</w:t>
            </w:r>
          </w:p>
        </w:tc>
        <w:tc>
          <w:tcPr>
            <w:tcW w:w="296" w:type="dxa"/>
          </w:tcPr>
          <w:p w:rsidR="001D32D7" w:rsidRPr="001D32D7" w:rsidRDefault="009F68F4" w:rsidP="002D1F8E">
            <w:pPr>
              <w:jc w:val="center"/>
              <w:rPr>
                <w:b/>
                <w:sz w:val="24"/>
                <w:szCs w:val="24"/>
              </w:rPr>
            </w:pPr>
            <w:r>
              <w:rPr>
                <w:b/>
                <w:sz w:val="24"/>
                <w:szCs w:val="24"/>
              </w:rPr>
              <w:t>:</w:t>
            </w:r>
          </w:p>
        </w:tc>
        <w:tc>
          <w:tcPr>
            <w:tcW w:w="5702" w:type="dxa"/>
          </w:tcPr>
          <w:p w:rsidR="009F68F4" w:rsidRDefault="00D515D4" w:rsidP="00D413A6">
            <w:pPr>
              <w:jc w:val="left"/>
              <w:rPr>
                <w:b/>
                <w:sz w:val="24"/>
                <w:szCs w:val="24"/>
              </w:rPr>
            </w:pPr>
            <w:r>
              <w:rPr>
                <w:b/>
                <w:sz w:val="24"/>
                <w:szCs w:val="24"/>
              </w:rPr>
              <w:t>BRES spol. s r.o.</w:t>
            </w:r>
          </w:p>
          <w:p w:rsidR="001D32D7" w:rsidRDefault="00D515D4" w:rsidP="00D413A6">
            <w:pPr>
              <w:jc w:val="left"/>
              <w:rPr>
                <w:sz w:val="24"/>
                <w:szCs w:val="24"/>
              </w:rPr>
            </w:pPr>
            <w:r>
              <w:rPr>
                <w:sz w:val="24"/>
                <w:szCs w:val="24"/>
              </w:rPr>
              <w:t>náměstí Republiky 1</w:t>
            </w:r>
          </w:p>
          <w:p w:rsidR="00AF2996" w:rsidRDefault="00D515D4" w:rsidP="00D413A6">
            <w:pPr>
              <w:jc w:val="left"/>
              <w:rPr>
                <w:sz w:val="24"/>
                <w:szCs w:val="24"/>
              </w:rPr>
            </w:pPr>
            <w:r>
              <w:rPr>
                <w:sz w:val="24"/>
                <w:szCs w:val="24"/>
              </w:rPr>
              <w:t>614 00 Brno</w:t>
            </w:r>
          </w:p>
          <w:p w:rsidR="00660177" w:rsidRDefault="008626D5" w:rsidP="00D515D4">
            <w:pPr>
              <w:jc w:val="left"/>
              <w:rPr>
                <w:sz w:val="24"/>
                <w:szCs w:val="24"/>
              </w:rPr>
            </w:pPr>
            <w:hyperlink r:id="rId11" w:history="1">
              <w:r w:rsidR="00036290" w:rsidRPr="0017030C">
                <w:rPr>
                  <w:rStyle w:val="Hypertextovodkaz"/>
                  <w:sz w:val="24"/>
                  <w:szCs w:val="24"/>
                </w:rPr>
                <w:t>www.bres.cz</w:t>
              </w:r>
            </w:hyperlink>
          </w:p>
          <w:p w:rsidR="00036290" w:rsidRDefault="00036290" w:rsidP="00D515D4">
            <w:pPr>
              <w:jc w:val="left"/>
              <w:rPr>
                <w:sz w:val="24"/>
                <w:szCs w:val="24"/>
              </w:rPr>
            </w:pPr>
            <w:r>
              <w:rPr>
                <w:sz w:val="24"/>
                <w:szCs w:val="24"/>
              </w:rPr>
              <w:t xml:space="preserve">IČ: </w:t>
            </w:r>
            <w:r w:rsidRPr="00036290">
              <w:rPr>
                <w:sz w:val="24"/>
                <w:szCs w:val="24"/>
              </w:rPr>
              <w:t>29220289</w:t>
            </w:r>
          </w:p>
          <w:p w:rsidR="009F68F4" w:rsidRPr="00660177" w:rsidRDefault="00036290" w:rsidP="00660177">
            <w:pPr>
              <w:rPr>
                <w:sz w:val="24"/>
                <w:szCs w:val="24"/>
              </w:rPr>
            </w:pPr>
            <w:r>
              <w:rPr>
                <w:sz w:val="24"/>
                <w:szCs w:val="24"/>
              </w:rPr>
              <w:t xml:space="preserve">DIČ: </w:t>
            </w:r>
            <w:r w:rsidRPr="00036290">
              <w:rPr>
                <w:sz w:val="24"/>
                <w:szCs w:val="24"/>
              </w:rPr>
              <w:t>CZ29220289</w:t>
            </w:r>
          </w:p>
        </w:tc>
      </w:tr>
      <w:tr w:rsidR="001D32D7" w:rsidTr="00660177">
        <w:tc>
          <w:tcPr>
            <w:tcW w:w="3214" w:type="dxa"/>
          </w:tcPr>
          <w:p w:rsidR="001D32D7" w:rsidRPr="001D32D7" w:rsidRDefault="009F68F4" w:rsidP="0025497A">
            <w:pPr>
              <w:jc w:val="left"/>
              <w:rPr>
                <w:b/>
                <w:sz w:val="24"/>
                <w:szCs w:val="24"/>
              </w:rPr>
            </w:pPr>
            <w:r>
              <w:rPr>
                <w:b/>
                <w:sz w:val="24"/>
                <w:szCs w:val="24"/>
              </w:rPr>
              <w:t xml:space="preserve">Projektant části </w:t>
            </w:r>
          </w:p>
        </w:tc>
        <w:tc>
          <w:tcPr>
            <w:tcW w:w="296" w:type="dxa"/>
          </w:tcPr>
          <w:p w:rsidR="001D32D7" w:rsidRPr="001D32D7" w:rsidRDefault="009F68F4" w:rsidP="002D1F8E">
            <w:pPr>
              <w:jc w:val="center"/>
              <w:rPr>
                <w:b/>
                <w:sz w:val="24"/>
                <w:szCs w:val="24"/>
              </w:rPr>
            </w:pPr>
            <w:r>
              <w:rPr>
                <w:b/>
                <w:sz w:val="24"/>
                <w:szCs w:val="24"/>
              </w:rPr>
              <w:t>:</w:t>
            </w:r>
          </w:p>
        </w:tc>
        <w:tc>
          <w:tcPr>
            <w:tcW w:w="5702" w:type="dxa"/>
          </w:tcPr>
          <w:p w:rsidR="00AF2996" w:rsidRPr="00AF2996" w:rsidRDefault="00AF2996" w:rsidP="00D413A6">
            <w:pPr>
              <w:jc w:val="left"/>
              <w:rPr>
                <w:b/>
                <w:sz w:val="24"/>
                <w:szCs w:val="24"/>
              </w:rPr>
            </w:pPr>
            <w:r w:rsidRPr="00AF2996">
              <w:rPr>
                <w:b/>
                <w:sz w:val="24"/>
                <w:szCs w:val="24"/>
              </w:rPr>
              <w:t xml:space="preserve">Ing. </w:t>
            </w:r>
            <w:r w:rsidR="0025497A">
              <w:rPr>
                <w:b/>
                <w:sz w:val="24"/>
                <w:szCs w:val="24"/>
              </w:rPr>
              <w:t>Jaroslav Stupka</w:t>
            </w:r>
          </w:p>
        </w:tc>
      </w:tr>
      <w:tr w:rsidR="001D32D7" w:rsidTr="00660177">
        <w:tc>
          <w:tcPr>
            <w:tcW w:w="3214" w:type="dxa"/>
          </w:tcPr>
          <w:p w:rsidR="001D32D7" w:rsidRPr="001D32D7" w:rsidRDefault="00AF2996" w:rsidP="00D413A6">
            <w:pPr>
              <w:jc w:val="left"/>
              <w:rPr>
                <w:b/>
                <w:sz w:val="24"/>
                <w:szCs w:val="24"/>
              </w:rPr>
            </w:pPr>
            <w:r>
              <w:rPr>
                <w:b/>
                <w:sz w:val="24"/>
                <w:szCs w:val="24"/>
              </w:rPr>
              <w:t>Zodpovědný projektant</w:t>
            </w:r>
          </w:p>
        </w:tc>
        <w:tc>
          <w:tcPr>
            <w:tcW w:w="296" w:type="dxa"/>
          </w:tcPr>
          <w:p w:rsidR="001D32D7" w:rsidRPr="001D32D7" w:rsidRDefault="00AF2996" w:rsidP="002D1F8E">
            <w:pPr>
              <w:jc w:val="center"/>
              <w:rPr>
                <w:b/>
                <w:sz w:val="24"/>
                <w:szCs w:val="24"/>
              </w:rPr>
            </w:pPr>
            <w:r>
              <w:rPr>
                <w:b/>
                <w:sz w:val="24"/>
                <w:szCs w:val="24"/>
              </w:rPr>
              <w:t>:</w:t>
            </w:r>
          </w:p>
        </w:tc>
        <w:tc>
          <w:tcPr>
            <w:tcW w:w="5702" w:type="dxa"/>
          </w:tcPr>
          <w:p w:rsidR="001D32D7" w:rsidRDefault="00AF2996" w:rsidP="00D413A6">
            <w:pPr>
              <w:jc w:val="left"/>
              <w:rPr>
                <w:b/>
                <w:sz w:val="24"/>
                <w:szCs w:val="24"/>
              </w:rPr>
            </w:pPr>
            <w:r>
              <w:rPr>
                <w:b/>
                <w:sz w:val="24"/>
                <w:szCs w:val="24"/>
              </w:rPr>
              <w:t xml:space="preserve">Ing. </w:t>
            </w:r>
            <w:r w:rsidR="0025497A">
              <w:rPr>
                <w:b/>
                <w:sz w:val="24"/>
                <w:szCs w:val="24"/>
              </w:rPr>
              <w:t>Jiří Reitknecht</w:t>
            </w:r>
          </w:p>
          <w:p w:rsidR="00AF2996" w:rsidRPr="00AF2996" w:rsidRDefault="00AF2996" w:rsidP="0025497A">
            <w:pPr>
              <w:jc w:val="left"/>
              <w:rPr>
                <w:b/>
                <w:sz w:val="24"/>
                <w:szCs w:val="24"/>
              </w:rPr>
            </w:pPr>
            <w:r>
              <w:rPr>
                <w:b/>
                <w:sz w:val="24"/>
                <w:szCs w:val="24"/>
              </w:rPr>
              <w:t xml:space="preserve">autorizace č.: </w:t>
            </w:r>
            <w:r w:rsidR="0025497A">
              <w:rPr>
                <w:b/>
                <w:sz w:val="24"/>
                <w:szCs w:val="24"/>
              </w:rPr>
              <w:t>1003689</w:t>
            </w:r>
          </w:p>
        </w:tc>
      </w:tr>
      <w:tr w:rsidR="001D32D7" w:rsidTr="00660177">
        <w:tc>
          <w:tcPr>
            <w:tcW w:w="3214" w:type="dxa"/>
          </w:tcPr>
          <w:p w:rsidR="001D32D7" w:rsidRPr="001D32D7" w:rsidRDefault="00AF2996" w:rsidP="00D413A6">
            <w:pPr>
              <w:jc w:val="left"/>
              <w:rPr>
                <w:b/>
                <w:sz w:val="24"/>
                <w:szCs w:val="24"/>
              </w:rPr>
            </w:pPr>
            <w:r>
              <w:rPr>
                <w:b/>
                <w:sz w:val="24"/>
                <w:szCs w:val="24"/>
              </w:rPr>
              <w:t>Stupeň</w:t>
            </w:r>
          </w:p>
        </w:tc>
        <w:tc>
          <w:tcPr>
            <w:tcW w:w="296" w:type="dxa"/>
          </w:tcPr>
          <w:p w:rsidR="001D32D7" w:rsidRPr="001D32D7" w:rsidRDefault="00AF2996" w:rsidP="002D1F8E">
            <w:pPr>
              <w:jc w:val="center"/>
              <w:rPr>
                <w:b/>
                <w:sz w:val="24"/>
                <w:szCs w:val="24"/>
              </w:rPr>
            </w:pPr>
            <w:r>
              <w:rPr>
                <w:b/>
                <w:sz w:val="24"/>
                <w:szCs w:val="24"/>
              </w:rPr>
              <w:t>:</w:t>
            </w:r>
          </w:p>
        </w:tc>
        <w:tc>
          <w:tcPr>
            <w:tcW w:w="5702" w:type="dxa"/>
          </w:tcPr>
          <w:p w:rsidR="001D32D7" w:rsidRPr="00AF2996" w:rsidRDefault="0025497A" w:rsidP="00036290">
            <w:pPr>
              <w:tabs>
                <w:tab w:val="left" w:pos="1335"/>
              </w:tabs>
              <w:jc w:val="left"/>
              <w:rPr>
                <w:b/>
                <w:sz w:val="24"/>
                <w:szCs w:val="24"/>
              </w:rPr>
            </w:pPr>
            <w:r>
              <w:rPr>
                <w:b/>
                <w:sz w:val="24"/>
                <w:szCs w:val="24"/>
              </w:rPr>
              <w:t>D</w:t>
            </w:r>
            <w:r w:rsidR="00036290">
              <w:rPr>
                <w:b/>
                <w:sz w:val="24"/>
                <w:szCs w:val="24"/>
              </w:rPr>
              <w:t>okumentace studie proveditelnosti</w:t>
            </w:r>
            <w:r>
              <w:rPr>
                <w:b/>
                <w:sz w:val="24"/>
                <w:szCs w:val="24"/>
              </w:rPr>
              <w:tab/>
            </w:r>
          </w:p>
        </w:tc>
      </w:tr>
      <w:tr w:rsidR="00AF2996" w:rsidTr="00660177">
        <w:tc>
          <w:tcPr>
            <w:tcW w:w="3214" w:type="dxa"/>
          </w:tcPr>
          <w:p w:rsidR="00AF2996" w:rsidRDefault="00AF2996" w:rsidP="00D413A6">
            <w:pPr>
              <w:jc w:val="left"/>
              <w:rPr>
                <w:b/>
                <w:sz w:val="24"/>
                <w:szCs w:val="24"/>
              </w:rPr>
            </w:pPr>
            <w:r>
              <w:rPr>
                <w:b/>
                <w:sz w:val="24"/>
                <w:szCs w:val="24"/>
              </w:rPr>
              <w:t>Datum zpracování</w:t>
            </w:r>
          </w:p>
        </w:tc>
        <w:tc>
          <w:tcPr>
            <w:tcW w:w="296" w:type="dxa"/>
          </w:tcPr>
          <w:p w:rsidR="00AF2996" w:rsidRDefault="00AF2996" w:rsidP="002D1F8E">
            <w:pPr>
              <w:jc w:val="center"/>
              <w:rPr>
                <w:b/>
                <w:sz w:val="24"/>
                <w:szCs w:val="24"/>
              </w:rPr>
            </w:pPr>
            <w:r>
              <w:rPr>
                <w:b/>
                <w:sz w:val="24"/>
                <w:szCs w:val="24"/>
              </w:rPr>
              <w:t>:</w:t>
            </w:r>
          </w:p>
        </w:tc>
        <w:tc>
          <w:tcPr>
            <w:tcW w:w="5702" w:type="dxa"/>
          </w:tcPr>
          <w:p w:rsidR="00AF2996" w:rsidRPr="00AF2996" w:rsidRDefault="00036290" w:rsidP="00236C55">
            <w:pPr>
              <w:jc w:val="left"/>
              <w:rPr>
                <w:b/>
                <w:sz w:val="24"/>
                <w:szCs w:val="24"/>
              </w:rPr>
            </w:pPr>
            <w:r>
              <w:rPr>
                <w:b/>
                <w:sz w:val="24"/>
                <w:szCs w:val="24"/>
              </w:rPr>
              <w:t>1</w:t>
            </w:r>
            <w:r w:rsidR="00236C55">
              <w:rPr>
                <w:b/>
                <w:sz w:val="24"/>
                <w:szCs w:val="24"/>
              </w:rPr>
              <w:t>2</w:t>
            </w:r>
            <w:r w:rsidR="00AF2996">
              <w:rPr>
                <w:b/>
                <w:sz w:val="24"/>
                <w:szCs w:val="24"/>
              </w:rPr>
              <w:t>/20</w:t>
            </w:r>
            <w:r w:rsidR="0025497A">
              <w:rPr>
                <w:b/>
                <w:sz w:val="24"/>
                <w:szCs w:val="24"/>
              </w:rPr>
              <w:t>20</w:t>
            </w:r>
          </w:p>
        </w:tc>
      </w:tr>
    </w:tbl>
    <w:p w:rsidR="00AF2996" w:rsidRDefault="00AF2996" w:rsidP="001D32D7"/>
    <w:p w:rsidR="00AF2996" w:rsidRDefault="00AF2996" w:rsidP="00AF2996">
      <w:r>
        <w:br w:type="page"/>
      </w:r>
    </w:p>
    <w:p w:rsidR="001D32D7" w:rsidRDefault="00126044" w:rsidP="006E0953">
      <w:pPr>
        <w:pStyle w:val="Nadpis1"/>
      </w:pPr>
      <w:bookmarkStart w:id="4" w:name="_Toc58949329"/>
      <w:r w:rsidRPr="00D00D11">
        <w:t>ÚVOD</w:t>
      </w:r>
      <w:bookmarkEnd w:id="4"/>
    </w:p>
    <w:p w:rsidR="001D32D7" w:rsidRDefault="0025497A" w:rsidP="001D32D7">
      <w:pPr>
        <w:pStyle w:val="Nadpis2"/>
      </w:pPr>
      <w:bookmarkStart w:id="5" w:name="_Toc58949330"/>
      <w:r>
        <w:t>Účel dokumentu</w:t>
      </w:r>
      <w:bookmarkEnd w:id="5"/>
    </w:p>
    <w:p w:rsidR="0025497A" w:rsidRDefault="0025497A" w:rsidP="0025497A">
      <w:r>
        <w:t xml:space="preserve">Předmětem </w:t>
      </w:r>
      <w:r w:rsidR="00A90DF7">
        <w:t>této dokumentace je studie proveditelnosti (dále jen „studie“ nebo „dílo“) pro akci „Optimalizace vytápění a možnosti dochlazení budovy ústředí ČNB“ (dále také jen „stavební akce“)</w:t>
      </w:r>
      <w:r w:rsidR="00AD76B1">
        <w:t>.</w:t>
      </w:r>
    </w:p>
    <w:p w:rsidR="0025497A" w:rsidRDefault="00AD76B1" w:rsidP="0025497A">
      <w:r>
        <w:t>V rámci studie budou porovnány dva možné systémy instalace. Prověřované varianty jsou následující:</w:t>
      </w:r>
    </w:p>
    <w:p w:rsidR="00AD76B1" w:rsidRDefault="00AD76B1" w:rsidP="00AD76B1">
      <w:pPr>
        <w:pStyle w:val="Odstavecseseznamem"/>
        <w:numPr>
          <w:ilvl w:val="0"/>
          <w:numId w:val="19"/>
        </w:numPr>
      </w:pPr>
      <w:r>
        <w:t xml:space="preserve">Instalace </w:t>
      </w:r>
      <w:r w:rsidR="008D5BF7">
        <w:t>t</w:t>
      </w:r>
      <w:r>
        <w:t>rigenerační jednotky jako náhrada za část nebo všech zdrojů vytápění (plynové kotle), s možností dochlazovat budovu ústředí v co největší míře.</w:t>
      </w:r>
      <w:r w:rsidR="00A44C9D">
        <w:t xml:space="preserve"> Dále jen „t</w:t>
      </w:r>
      <w:r w:rsidR="001D428E">
        <w:t>ri</w:t>
      </w:r>
      <w:r w:rsidR="00A44C9D">
        <w:t>generační jednotka“.</w:t>
      </w:r>
    </w:p>
    <w:p w:rsidR="004049DD" w:rsidRDefault="00AD76B1" w:rsidP="00C24527">
      <w:pPr>
        <w:pStyle w:val="Odstavecseseznamem"/>
        <w:numPr>
          <w:ilvl w:val="0"/>
          <w:numId w:val="19"/>
        </w:numPr>
      </w:pPr>
      <w:r>
        <w:t xml:space="preserve">Instalace kogenerační jednotky jako náhrada za část nebo všech zdrojů vytápění (plynové kotle). V tomto případě bude také prověřena možnost </w:t>
      </w:r>
      <w:r w:rsidR="004049DD">
        <w:t>dochlazovat budovu instalací blokové chladicí jednotky v určeném prostoru zdroje chladu CH II (včetně zřízení nové distribuční strojovny chladu).</w:t>
      </w:r>
      <w:r w:rsidR="00A44C9D">
        <w:t xml:space="preserve"> Dále jen „KGJ + bloková chladicí jednotka</w:t>
      </w:r>
      <w:r w:rsidR="00163AC4">
        <w:t>“.</w:t>
      </w:r>
    </w:p>
    <w:p w:rsidR="002573DC" w:rsidRPr="0025497A" w:rsidRDefault="002573DC" w:rsidP="002573DC">
      <w:r>
        <w:t xml:space="preserve">Všechny ceny uvedené v tomto dokumentu jsou bez DPH. </w:t>
      </w:r>
    </w:p>
    <w:p w:rsidR="001D32D7" w:rsidRDefault="005A5729" w:rsidP="00CF3E7B">
      <w:pPr>
        <w:pStyle w:val="Nadpis2"/>
      </w:pPr>
      <w:bookmarkStart w:id="6" w:name="_Toc58949331"/>
      <w:r>
        <w:t>Použité předpisy a obecné technické normy</w:t>
      </w:r>
      <w:bookmarkEnd w:id="6"/>
    </w:p>
    <w:p w:rsidR="005A5729" w:rsidRPr="008C750F" w:rsidRDefault="007F32F5" w:rsidP="005A5729">
      <w:pPr>
        <w:rPr>
          <w:u w:val="single"/>
        </w:rPr>
      </w:pPr>
      <w:r w:rsidRPr="008C750F">
        <w:rPr>
          <w:u w:val="single"/>
        </w:rPr>
        <w:t>České technické normy:</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4"/>
        <w:gridCol w:w="6028"/>
      </w:tblGrid>
      <w:tr w:rsidR="00236306" w:rsidRPr="008C750F" w:rsidTr="00E17F0F">
        <w:tc>
          <w:tcPr>
            <w:tcW w:w="3044" w:type="dxa"/>
          </w:tcPr>
          <w:p w:rsidR="00236306" w:rsidRPr="008C750F" w:rsidRDefault="00F3369A" w:rsidP="008E0735">
            <w:pPr>
              <w:keepNext/>
              <w:jc w:val="left"/>
            </w:pPr>
            <w:r w:rsidRPr="008C750F">
              <w:t xml:space="preserve">ČSN EN </w:t>
            </w:r>
            <w:r w:rsidR="00920A67" w:rsidRPr="008C750F">
              <w:t>07 0703 (Z6)</w:t>
            </w:r>
          </w:p>
        </w:tc>
        <w:tc>
          <w:tcPr>
            <w:tcW w:w="6028" w:type="dxa"/>
          </w:tcPr>
          <w:p w:rsidR="00236306" w:rsidRPr="008C750F" w:rsidRDefault="00920A67" w:rsidP="00F3369A">
            <w:pPr>
              <w:keepNext/>
              <w:jc w:val="left"/>
            </w:pPr>
            <w:r w:rsidRPr="008C750F">
              <w:t>Plynové kotelny</w:t>
            </w:r>
          </w:p>
        </w:tc>
      </w:tr>
      <w:tr w:rsidR="00937979" w:rsidRPr="008C750F" w:rsidTr="00E17F0F">
        <w:tc>
          <w:tcPr>
            <w:tcW w:w="3044" w:type="dxa"/>
          </w:tcPr>
          <w:p w:rsidR="00937979" w:rsidRPr="008C750F" w:rsidRDefault="00937979" w:rsidP="008E0735">
            <w:pPr>
              <w:keepNext/>
              <w:jc w:val="left"/>
            </w:pPr>
            <w:r>
              <w:t>ČSN 06 0310</w:t>
            </w:r>
          </w:p>
        </w:tc>
        <w:tc>
          <w:tcPr>
            <w:tcW w:w="6028" w:type="dxa"/>
          </w:tcPr>
          <w:p w:rsidR="00937979" w:rsidRPr="008C750F" w:rsidRDefault="00937979" w:rsidP="00F3369A">
            <w:pPr>
              <w:keepNext/>
              <w:jc w:val="left"/>
            </w:pPr>
            <w:r>
              <w:t>Tepelné soustavy v budovách – Projektování a montáž</w:t>
            </w:r>
          </w:p>
        </w:tc>
      </w:tr>
      <w:tr w:rsidR="00937979" w:rsidRPr="008C750F" w:rsidTr="00E17F0F">
        <w:tc>
          <w:tcPr>
            <w:tcW w:w="3044" w:type="dxa"/>
          </w:tcPr>
          <w:p w:rsidR="00937979" w:rsidRDefault="00937979" w:rsidP="008E0735">
            <w:pPr>
              <w:keepNext/>
              <w:jc w:val="left"/>
            </w:pPr>
            <w:r>
              <w:t>ČSN 06 0830</w:t>
            </w:r>
          </w:p>
        </w:tc>
        <w:tc>
          <w:tcPr>
            <w:tcW w:w="6028" w:type="dxa"/>
          </w:tcPr>
          <w:p w:rsidR="00937979" w:rsidRDefault="00937979" w:rsidP="00F3369A">
            <w:pPr>
              <w:keepNext/>
              <w:jc w:val="left"/>
            </w:pPr>
            <w:r>
              <w:t>Tepelné soustavy v budovách – Zabezpečovací zařízení</w:t>
            </w:r>
          </w:p>
        </w:tc>
      </w:tr>
      <w:tr w:rsidR="00937979" w:rsidRPr="008C750F" w:rsidTr="00E17F0F">
        <w:tc>
          <w:tcPr>
            <w:tcW w:w="3044" w:type="dxa"/>
          </w:tcPr>
          <w:p w:rsidR="00937979" w:rsidRDefault="00937979" w:rsidP="008E0735">
            <w:pPr>
              <w:keepNext/>
              <w:jc w:val="left"/>
            </w:pPr>
            <w:r>
              <w:t>ČSN 73 0540-2</w:t>
            </w:r>
          </w:p>
        </w:tc>
        <w:tc>
          <w:tcPr>
            <w:tcW w:w="6028" w:type="dxa"/>
          </w:tcPr>
          <w:p w:rsidR="00937979" w:rsidRDefault="00937979" w:rsidP="00F3369A">
            <w:pPr>
              <w:keepNext/>
              <w:jc w:val="left"/>
            </w:pPr>
            <w:r>
              <w:t>Tepelná ochrana budov – Část 2</w:t>
            </w:r>
          </w:p>
        </w:tc>
      </w:tr>
      <w:tr w:rsidR="00937979" w:rsidRPr="008C750F" w:rsidTr="00E17F0F">
        <w:tc>
          <w:tcPr>
            <w:tcW w:w="3044" w:type="dxa"/>
          </w:tcPr>
          <w:p w:rsidR="00937979" w:rsidRDefault="00937979" w:rsidP="008E0735">
            <w:pPr>
              <w:keepNext/>
              <w:jc w:val="left"/>
            </w:pPr>
            <w:r>
              <w:t>ČSN 73 0540-3</w:t>
            </w:r>
          </w:p>
        </w:tc>
        <w:tc>
          <w:tcPr>
            <w:tcW w:w="6028" w:type="dxa"/>
          </w:tcPr>
          <w:p w:rsidR="00937979" w:rsidRDefault="00937979" w:rsidP="00F3369A">
            <w:pPr>
              <w:keepNext/>
              <w:jc w:val="left"/>
            </w:pPr>
            <w:r>
              <w:t>Tepelná ochrana budov – Část 3: Návrh hodnoty veličin</w:t>
            </w:r>
          </w:p>
        </w:tc>
      </w:tr>
      <w:tr w:rsidR="00937979" w:rsidRPr="008C750F" w:rsidTr="00E17F0F">
        <w:tc>
          <w:tcPr>
            <w:tcW w:w="3044" w:type="dxa"/>
          </w:tcPr>
          <w:p w:rsidR="00937979" w:rsidRDefault="00937979" w:rsidP="008E0735">
            <w:pPr>
              <w:keepNext/>
              <w:jc w:val="left"/>
            </w:pPr>
            <w:r>
              <w:t>ČSN 73 4201</w:t>
            </w:r>
          </w:p>
        </w:tc>
        <w:tc>
          <w:tcPr>
            <w:tcW w:w="6028" w:type="dxa"/>
          </w:tcPr>
          <w:p w:rsidR="00937979" w:rsidRDefault="00937979" w:rsidP="00F3369A">
            <w:pPr>
              <w:keepNext/>
              <w:jc w:val="left"/>
            </w:pPr>
            <w:r>
              <w:t>Komíny a kouřovody – Navrhování, provádění a připojování spotřebičů paliv</w:t>
            </w:r>
          </w:p>
        </w:tc>
      </w:tr>
      <w:tr w:rsidR="00937979" w:rsidRPr="008C750F" w:rsidTr="00E17F0F">
        <w:tc>
          <w:tcPr>
            <w:tcW w:w="3044" w:type="dxa"/>
          </w:tcPr>
          <w:p w:rsidR="00937979" w:rsidRDefault="00937979" w:rsidP="008E0735">
            <w:pPr>
              <w:keepNext/>
              <w:jc w:val="left"/>
            </w:pPr>
            <w:r>
              <w:t>ČSN EN 13384</w:t>
            </w:r>
          </w:p>
        </w:tc>
        <w:tc>
          <w:tcPr>
            <w:tcW w:w="6028" w:type="dxa"/>
          </w:tcPr>
          <w:p w:rsidR="00937979" w:rsidRDefault="00937979" w:rsidP="00F3369A">
            <w:pPr>
              <w:keepNext/>
              <w:jc w:val="left"/>
            </w:pPr>
            <w:r>
              <w:t>Komíny – tepelně technické a hydraulické výpočtové metody</w:t>
            </w:r>
          </w:p>
        </w:tc>
      </w:tr>
      <w:tr w:rsidR="00937979" w:rsidRPr="008C750F" w:rsidTr="00E17F0F">
        <w:tc>
          <w:tcPr>
            <w:tcW w:w="3044" w:type="dxa"/>
          </w:tcPr>
          <w:p w:rsidR="00937979" w:rsidRDefault="00937979" w:rsidP="008E0735">
            <w:pPr>
              <w:keepNext/>
              <w:jc w:val="left"/>
            </w:pPr>
            <w:r>
              <w:t>TPG 704 01</w:t>
            </w:r>
          </w:p>
        </w:tc>
        <w:tc>
          <w:tcPr>
            <w:tcW w:w="6028" w:type="dxa"/>
          </w:tcPr>
          <w:p w:rsidR="00937979" w:rsidRDefault="00937979" w:rsidP="00F3369A">
            <w:pPr>
              <w:keepNext/>
              <w:jc w:val="left"/>
            </w:pPr>
            <w:r>
              <w:t>Odběrná plynová zařízení a spotřebiče na plynná paliva v budovách</w:t>
            </w:r>
          </w:p>
        </w:tc>
      </w:tr>
      <w:tr w:rsidR="00937979" w:rsidRPr="008C750F" w:rsidTr="00E17F0F">
        <w:tc>
          <w:tcPr>
            <w:tcW w:w="3044" w:type="dxa"/>
          </w:tcPr>
          <w:p w:rsidR="00937979" w:rsidRDefault="00937979" w:rsidP="008E0735">
            <w:pPr>
              <w:keepNext/>
              <w:jc w:val="left"/>
            </w:pPr>
            <w:r>
              <w:t>TPG 908 02</w:t>
            </w:r>
          </w:p>
        </w:tc>
        <w:tc>
          <w:tcPr>
            <w:tcW w:w="6028" w:type="dxa"/>
          </w:tcPr>
          <w:p w:rsidR="00937979" w:rsidRDefault="00937979" w:rsidP="00F3369A">
            <w:pPr>
              <w:keepNext/>
              <w:jc w:val="left"/>
            </w:pPr>
            <w:r>
              <w:t>Přívod spalovacího vzduchu do vnitřních prostorů se spotřebiči na plynná paliva s výkonem 50 kW a větším</w:t>
            </w:r>
          </w:p>
        </w:tc>
      </w:tr>
    </w:tbl>
    <w:p w:rsidR="007F32F5" w:rsidRPr="008C750F" w:rsidRDefault="007F32F5" w:rsidP="007F32F5">
      <w:pPr>
        <w:rPr>
          <w:u w:val="single"/>
        </w:rPr>
      </w:pPr>
      <w:r w:rsidRPr="008C750F">
        <w:rPr>
          <w:u w:val="single"/>
        </w:rPr>
        <w:t>Zákony a vyhlášky platné v ČR, zejména:</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6"/>
        <w:gridCol w:w="6016"/>
      </w:tblGrid>
      <w:tr w:rsidR="00236306" w:rsidRPr="008C750F" w:rsidTr="00BC3EDF">
        <w:tc>
          <w:tcPr>
            <w:tcW w:w="3046" w:type="dxa"/>
          </w:tcPr>
          <w:p w:rsidR="00236306" w:rsidRPr="008C750F" w:rsidRDefault="001D428E" w:rsidP="00BC3EDF">
            <w:pPr>
              <w:jc w:val="left"/>
            </w:pPr>
            <w:r w:rsidRPr="008C750F">
              <w:t>Nařízení vlády č. 272/2011 Sb.</w:t>
            </w:r>
          </w:p>
        </w:tc>
        <w:tc>
          <w:tcPr>
            <w:tcW w:w="6016" w:type="dxa"/>
          </w:tcPr>
          <w:p w:rsidR="00236306" w:rsidRPr="008C750F" w:rsidRDefault="001D428E" w:rsidP="00BC3EDF">
            <w:pPr>
              <w:jc w:val="left"/>
            </w:pPr>
            <w:r w:rsidRPr="008C750F">
              <w:t>Nařízení vlády o ochraně zdraví před nepříznivými účinky hluku a vibrací</w:t>
            </w:r>
          </w:p>
        </w:tc>
      </w:tr>
      <w:tr w:rsidR="00937979" w:rsidRPr="008C750F" w:rsidTr="00BC3EDF">
        <w:tc>
          <w:tcPr>
            <w:tcW w:w="3046" w:type="dxa"/>
          </w:tcPr>
          <w:p w:rsidR="00937979" w:rsidRPr="008C750F" w:rsidRDefault="00937979" w:rsidP="00BC3EDF">
            <w:pPr>
              <w:jc w:val="left"/>
            </w:pPr>
            <w:r>
              <w:t>Zákon č. 183/2006 Sb.</w:t>
            </w:r>
          </w:p>
        </w:tc>
        <w:tc>
          <w:tcPr>
            <w:tcW w:w="6016" w:type="dxa"/>
          </w:tcPr>
          <w:p w:rsidR="00937979" w:rsidRPr="008C750F" w:rsidRDefault="00937979" w:rsidP="00BC3EDF">
            <w:pPr>
              <w:jc w:val="left"/>
            </w:pPr>
            <w:r>
              <w:t>Stavební zákon v aktuálním znění</w:t>
            </w:r>
          </w:p>
        </w:tc>
      </w:tr>
      <w:tr w:rsidR="00937979" w:rsidRPr="008C750F" w:rsidTr="00BC3EDF">
        <w:tc>
          <w:tcPr>
            <w:tcW w:w="3046" w:type="dxa"/>
          </w:tcPr>
          <w:p w:rsidR="00937979" w:rsidRDefault="00937979" w:rsidP="00BC3EDF">
            <w:pPr>
              <w:jc w:val="left"/>
            </w:pPr>
            <w:r>
              <w:t>Z</w:t>
            </w:r>
            <w:r w:rsidR="00FE0892">
              <w:t>ákon č. 201//2012 Sb.</w:t>
            </w:r>
          </w:p>
        </w:tc>
        <w:tc>
          <w:tcPr>
            <w:tcW w:w="6016" w:type="dxa"/>
          </w:tcPr>
          <w:p w:rsidR="00937979" w:rsidRDefault="00FE0892" w:rsidP="00BC3EDF">
            <w:pPr>
              <w:jc w:val="left"/>
            </w:pPr>
            <w:r>
              <w:t>Zákon o ochraně ovzduší v aktuálním znění</w:t>
            </w:r>
          </w:p>
        </w:tc>
      </w:tr>
      <w:tr w:rsidR="00FE0892" w:rsidRPr="008C750F" w:rsidTr="00BC3EDF">
        <w:tc>
          <w:tcPr>
            <w:tcW w:w="3046" w:type="dxa"/>
          </w:tcPr>
          <w:p w:rsidR="00FE0892" w:rsidRDefault="00FE0892" w:rsidP="00FE0892">
            <w:pPr>
              <w:jc w:val="left"/>
            </w:pPr>
            <w:r>
              <w:t>Vyhláška č. 193/2007 Sb.</w:t>
            </w:r>
          </w:p>
        </w:tc>
        <w:tc>
          <w:tcPr>
            <w:tcW w:w="6016" w:type="dxa"/>
          </w:tcPr>
          <w:p w:rsidR="00FE0892" w:rsidRDefault="00FE0892" w:rsidP="00BC3EDF">
            <w:pPr>
              <w:jc w:val="left"/>
            </w:pPr>
            <w:r>
              <w:t>kterou se stanoví podrobnosti účinnosti užití energie při rozvodu tepelné energie a vnitřním rozvodu tepelné energie a chladu</w:t>
            </w:r>
          </w:p>
        </w:tc>
      </w:tr>
      <w:tr w:rsidR="00FE0892" w:rsidRPr="008C750F" w:rsidTr="00BC3EDF">
        <w:tc>
          <w:tcPr>
            <w:tcW w:w="3046" w:type="dxa"/>
          </w:tcPr>
          <w:p w:rsidR="00FE0892" w:rsidRDefault="00FE0892" w:rsidP="00FE0892">
            <w:pPr>
              <w:jc w:val="left"/>
            </w:pPr>
            <w:r>
              <w:t xml:space="preserve">Vyhláška č. 499/2006 Sb. </w:t>
            </w:r>
          </w:p>
        </w:tc>
        <w:tc>
          <w:tcPr>
            <w:tcW w:w="6016" w:type="dxa"/>
          </w:tcPr>
          <w:p w:rsidR="00FE0892" w:rsidRDefault="00FE0892" w:rsidP="00BC3EDF">
            <w:pPr>
              <w:jc w:val="left"/>
            </w:pPr>
            <w:r>
              <w:t>o dokumentaci staveb</w:t>
            </w:r>
          </w:p>
        </w:tc>
      </w:tr>
      <w:tr w:rsidR="00FE0892" w:rsidRPr="008C750F" w:rsidTr="00BC3EDF">
        <w:tc>
          <w:tcPr>
            <w:tcW w:w="3046" w:type="dxa"/>
          </w:tcPr>
          <w:p w:rsidR="00FE0892" w:rsidRDefault="00FE0892" w:rsidP="00FE0892">
            <w:pPr>
              <w:jc w:val="left"/>
            </w:pPr>
            <w:r>
              <w:t>Nařízení vlády č. 361/2007 Sb.</w:t>
            </w:r>
          </w:p>
        </w:tc>
        <w:tc>
          <w:tcPr>
            <w:tcW w:w="6016" w:type="dxa"/>
          </w:tcPr>
          <w:p w:rsidR="00FE0892" w:rsidRDefault="00FE0892" w:rsidP="00BC3EDF">
            <w:pPr>
              <w:jc w:val="left"/>
            </w:pPr>
            <w:r>
              <w:t>kterým se stanoví podmínky ochrany zdraví při práci</w:t>
            </w:r>
          </w:p>
        </w:tc>
      </w:tr>
      <w:tr w:rsidR="00F259F5" w:rsidRPr="008C750F" w:rsidTr="00BC3EDF">
        <w:tc>
          <w:tcPr>
            <w:tcW w:w="3046" w:type="dxa"/>
          </w:tcPr>
          <w:p w:rsidR="00F259F5" w:rsidRDefault="00F259F5" w:rsidP="00FE0892">
            <w:pPr>
              <w:jc w:val="left"/>
            </w:pPr>
            <w:r>
              <w:t>Vyhláška č. 193/2007 Sb.,</w:t>
            </w:r>
          </w:p>
        </w:tc>
        <w:tc>
          <w:tcPr>
            <w:tcW w:w="6016" w:type="dxa"/>
          </w:tcPr>
          <w:p w:rsidR="00F259F5" w:rsidRDefault="00F259F5" w:rsidP="00BC3EDF">
            <w:pPr>
              <w:jc w:val="left"/>
            </w:pPr>
            <w:r>
              <w:t>kterou se stanoví podrobnosti účinnosti užití energie při rozvodu tepelné energie a vnitřním rozvodu tepelné energie a chladu.</w:t>
            </w:r>
          </w:p>
        </w:tc>
      </w:tr>
    </w:tbl>
    <w:p w:rsidR="008E0735" w:rsidRPr="008C750F" w:rsidRDefault="008E0735" w:rsidP="008E0735">
      <w:pPr>
        <w:rPr>
          <w:u w:val="single"/>
        </w:rPr>
      </w:pPr>
      <w:r w:rsidRPr="008C750F">
        <w:rPr>
          <w:u w:val="single"/>
        </w:rPr>
        <w:t>Metodické pokyny:</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8E0735" w:rsidRPr="00C24527" w:rsidTr="008E0735">
        <w:tc>
          <w:tcPr>
            <w:tcW w:w="9062" w:type="dxa"/>
          </w:tcPr>
          <w:p w:rsidR="008E0735" w:rsidRPr="008C750F" w:rsidRDefault="008E0735" w:rsidP="008E0735">
            <w:pPr>
              <w:jc w:val="left"/>
            </w:pPr>
            <w:r w:rsidRPr="008C750F">
              <w:t>Metodický pokyn k povolování kogeneračních jednotek na území hl. m. Prahy</w:t>
            </w:r>
          </w:p>
        </w:tc>
      </w:tr>
    </w:tbl>
    <w:p w:rsidR="000558F3" w:rsidRDefault="00BC3EDF" w:rsidP="000558F3">
      <w:pPr>
        <w:pStyle w:val="Nadpis2"/>
      </w:pPr>
      <w:bookmarkStart w:id="7" w:name="_Toc58949332"/>
      <w:r>
        <w:t>Výchozí podklady pro zpracování projektu</w:t>
      </w:r>
      <w:bookmarkEnd w:id="7"/>
    </w:p>
    <w:p w:rsidR="00672AAC" w:rsidRDefault="00C24527" w:rsidP="00C24527">
      <w:pPr>
        <w:pStyle w:val="Odstavecseseznamem"/>
        <w:numPr>
          <w:ilvl w:val="0"/>
          <w:numId w:val="20"/>
        </w:numPr>
      </w:pPr>
      <w:r>
        <w:t>detailní prohlídka objektu budovy ústředí objednatele,</w:t>
      </w:r>
    </w:p>
    <w:p w:rsidR="00C24527" w:rsidRDefault="00C24527" w:rsidP="00C24527">
      <w:pPr>
        <w:pStyle w:val="Odstavecseseznamem"/>
        <w:numPr>
          <w:ilvl w:val="0"/>
          <w:numId w:val="20"/>
        </w:numPr>
      </w:pPr>
      <w:r>
        <w:t xml:space="preserve">požadavky na zpracování studie, uvedené níže v této smlouvě a v příloze č. 2 této smlouvy a </w:t>
      </w:r>
    </w:p>
    <w:p w:rsidR="00C24527" w:rsidRDefault="00C24527" w:rsidP="00C24527">
      <w:pPr>
        <w:pStyle w:val="Odstavecseseznamem"/>
        <w:numPr>
          <w:ilvl w:val="0"/>
          <w:numId w:val="20"/>
        </w:numPr>
      </w:pPr>
      <w:r>
        <w:t>dokumentace budovy ústředí objednatele, která tvoří přílohu č. 3 této smlouvy.</w:t>
      </w:r>
    </w:p>
    <w:p w:rsidR="005A5729" w:rsidRDefault="00C24527" w:rsidP="006E0953">
      <w:pPr>
        <w:pStyle w:val="Nadpis1"/>
      </w:pPr>
      <w:bookmarkStart w:id="8" w:name="_Toc58949333"/>
      <w:r>
        <w:t>VÝCHOZÍ STAV, ZDŮVODNĚNÍ REALIZACE PROJEKTU A ANALÝZA JEHO POTŘEBNOSTI A PŘÍNOSŮ</w:t>
      </w:r>
      <w:bookmarkEnd w:id="8"/>
    </w:p>
    <w:p w:rsidR="00E009AE" w:rsidRDefault="00E009AE" w:rsidP="00E009AE">
      <w:pPr>
        <w:pStyle w:val="Nadpis2"/>
      </w:pPr>
      <w:bookmarkStart w:id="9" w:name="_Toc58949334"/>
      <w:r>
        <w:t>Zdůvodnění realizace projektu a analýza jeho potřebnosti a přínosů</w:t>
      </w:r>
      <w:bookmarkEnd w:id="9"/>
    </w:p>
    <w:p w:rsidR="00E009AE" w:rsidRDefault="00E009AE" w:rsidP="00E009AE">
      <w:r>
        <w:t>Součástí obou variant je instalace kogenerační jednotky</w:t>
      </w:r>
      <w:r w:rsidR="005911CD">
        <w:t xml:space="preserve"> (dále jen „KGJ“)</w:t>
      </w:r>
      <w:r>
        <w:t xml:space="preserve">, která umožní kombinovanou výrobu elektrické energie a tepla (KVET). </w:t>
      </w:r>
      <w:r w:rsidR="005911CD">
        <w:t>Mezi výhody instalace KGJ patří to</w:t>
      </w:r>
      <w:r>
        <w:t>, že umožňuje rychlé výkonové změny, dokáž</w:t>
      </w:r>
      <w:r w:rsidR="005911CD">
        <w:t>e</w:t>
      </w:r>
      <w:r>
        <w:t xml:space="preserve"> reagovat na výkyvy výroby elektrické energie z obnovitelných zdrojů energie a snižuj</w:t>
      </w:r>
      <w:r w:rsidR="005911CD">
        <w:t>e</w:t>
      </w:r>
      <w:r>
        <w:t xml:space="preserve"> nároky na kapacitu elektrické distribuční sítě </w:t>
      </w:r>
      <w:r>
        <w:rPr>
          <w:lang w:val="en-US"/>
        </w:rPr>
        <w:t>[1]</w:t>
      </w:r>
      <w:r>
        <w:t>.</w:t>
      </w:r>
    </w:p>
    <w:p w:rsidR="00E009AE" w:rsidRDefault="00E009AE" w:rsidP="00E009AE">
      <w:r>
        <w:t xml:space="preserve">Produkce elektrické energie umožní provozovateli pokrýt část jeho spotřeby a na takto vyrobenou energii čerpat podporu pro podporované zdroje energie (POZE). Teplo produkované kogenerační jednotkou může být využito pro ohřev TV, vytápění či ve variantě trigenerace </w:t>
      </w:r>
      <w:r w:rsidR="001972D1">
        <w:t>s absorpční jednotkou pro chlazení</w:t>
      </w:r>
      <w:r>
        <w:t xml:space="preserve">. </w:t>
      </w:r>
    </w:p>
    <w:p w:rsidR="00E009AE" w:rsidRDefault="00E009AE" w:rsidP="00E009AE">
      <w:r>
        <w:t xml:space="preserve">Dalším bodem projektu je v případě obou variant posílení zdroje chladu v letním období o 400 kW chladicího výkonu. To umožní pokrýt přebytečnou tepelnou zátěž v létě a docílit v administrativních prostorech tzv. </w:t>
      </w:r>
      <w:r w:rsidR="001972D1">
        <w:t xml:space="preserve">tepelné </w:t>
      </w:r>
      <w:r>
        <w:t>pohody prostředí (vhodné podmínky pro zdravý pohyb a tvořivou práci</w:t>
      </w:r>
      <w:r w:rsidR="0065152C">
        <w:t xml:space="preserve"> zaměstnanců ČNB</w:t>
      </w:r>
      <w:r>
        <w:t>).</w:t>
      </w:r>
    </w:p>
    <w:p w:rsidR="00E009AE" w:rsidRDefault="00E009AE" w:rsidP="00E009AE">
      <w:r>
        <w:t xml:space="preserve">V následujících </w:t>
      </w:r>
      <w:r w:rsidR="005911CD">
        <w:t xml:space="preserve">podkapitolách je popsán výchozí stav vytápění, ohřevu TV a chlazení v budovách ústředí ČNB. </w:t>
      </w:r>
    </w:p>
    <w:p w:rsidR="006847C0" w:rsidRDefault="005B4FD0" w:rsidP="00174921">
      <w:pPr>
        <w:pStyle w:val="Nadpis2"/>
      </w:pPr>
      <w:bookmarkStart w:id="10" w:name="_Toc58949335"/>
      <w:r>
        <w:t>Vytápění</w:t>
      </w:r>
      <w:r w:rsidR="00174921">
        <w:t xml:space="preserve"> a ohřev TV</w:t>
      </w:r>
      <w:r w:rsidR="000D7466">
        <w:t xml:space="preserve"> (výchozí stav)</w:t>
      </w:r>
      <w:bookmarkEnd w:id="10"/>
    </w:p>
    <w:p w:rsidR="005B4FD0" w:rsidRDefault="00A32AFB" w:rsidP="005B4FD0">
      <w:r>
        <w:t>Vytápění</w:t>
      </w:r>
      <w:r w:rsidR="00174921">
        <w:t xml:space="preserve"> a ohřev TV</w:t>
      </w:r>
      <w:r>
        <w:t xml:space="preserve"> objektu „SO 01 Hlavní budovy ČNB“ a „SO 02 Plodinové burzy (kromě bytů Hypšmanovy přístavby</w:t>
      </w:r>
      <w:r w:rsidR="001A28A9">
        <w:t>)</w:t>
      </w:r>
      <w:r>
        <w:t>“ zajišťuje centrální plynová k</w:t>
      </w:r>
      <w:r w:rsidR="00CA106A">
        <w:t>otelna umístěná ve 3. suterénu. Kotelna je umístěna v místnostech 3S302B</w:t>
      </w:r>
      <w:r w:rsidR="001A28A9">
        <w:t xml:space="preserve"> (-11,460) a 3S501 (-10,710). V kotelně 3S302B </w:t>
      </w:r>
      <w:r w:rsidR="0089663D">
        <w:t>(</w:t>
      </w:r>
      <w:r w:rsidR="0089663D" w:rsidRPr="00E37677">
        <w:t xml:space="preserve">viz </w:t>
      </w:r>
      <w:r w:rsidR="00E37677" w:rsidRPr="00E37677">
        <w:fldChar w:fldCharType="begin"/>
      </w:r>
      <w:r w:rsidR="00E37677" w:rsidRPr="00E37677">
        <w:instrText xml:space="preserve"> REF _Ref56064165 \h </w:instrText>
      </w:r>
      <w:r w:rsidR="00E37677">
        <w:instrText xml:space="preserve"> \* MERGEFORMAT </w:instrText>
      </w:r>
      <w:r w:rsidR="00E37677" w:rsidRPr="00E37677">
        <w:fldChar w:fldCharType="separate"/>
      </w:r>
      <w:r w:rsidR="00816426">
        <w:t xml:space="preserve">Obr. </w:t>
      </w:r>
      <w:r w:rsidR="00816426">
        <w:rPr>
          <w:noProof/>
        </w:rPr>
        <w:t>1</w:t>
      </w:r>
      <w:r w:rsidR="00E37677" w:rsidRPr="00E37677">
        <w:fldChar w:fldCharType="end"/>
      </w:r>
      <w:r w:rsidR="0089663D">
        <w:t xml:space="preserve">) </w:t>
      </w:r>
      <w:r w:rsidR="001A28A9">
        <w:t>jsou umístěny dva nízkotlaké teplovodní plynové kotle BUDERUS G605-1000 (výkon 1100 kW, 90/70 °C</w:t>
      </w:r>
      <w:r w:rsidR="00174921">
        <w:t>, 17 článků</w:t>
      </w:r>
      <w:r w:rsidR="001A28A9">
        <w:t>)</w:t>
      </w:r>
      <w:r w:rsidR="00174921">
        <w:t xml:space="preserve"> a upravený kotel BUDERUS G605-530/9 (výkon 530 kW, 90/70 °C, 9 článků) – úprava z roku 2011</w:t>
      </w:r>
      <w:r w:rsidR="001A28A9">
        <w:t>.</w:t>
      </w:r>
      <w:r w:rsidR="00174921">
        <w:t xml:space="preserve"> V kotelně 3S501 jsou umístěny tři teplovodní plynové kotle BUDERUS G605-1000 (výkon 1100 kW, 90/70 °C, 17 článků), z nichž jeden je odzbrojen.</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89663D" w:rsidTr="0089663D">
        <w:tc>
          <w:tcPr>
            <w:tcW w:w="9212" w:type="dxa"/>
          </w:tcPr>
          <w:p w:rsidR="0089663D" w:rsidRDefault="0089663D" w:rsidP="0089663D">
            <w:pPr>
              <w:keepNext/>
              <w:jc w:val="center"/>
            </w:pPr>
            <w:r>
              <w:rPr>
                <w:noProof/>
                <w:lang w:eastAsia="cs-CZ"/>
              </w:rPr>
              <w:drawing>
                <wp:inline distT="0" distB="0" distL="0" distR="0" wp14:anchorId="122A85B2" wp14:editId="0457AC80">
                  <wp:extent cx="5689601"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TO_STÁV_KOTELNA_3S302B.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16866" cy="3215737"/>
                          </a:xfrm>
                          <a:prstGeom prst="rect">
                            <a:avLst/>
                          </a:prstGeom>
                        </pic:spPr>
                      </pic:pic>
                    </a:graphicData>
                  </a:graphic>
                </wp:inline>
              </w:drawing>
            </w:r>
          </w:p>
        </w:tc>
      </w:tr>
      <w:tr w:rsidR="0089663D" w:rsidTr="0089663D">
        <w:tc>
          <w:tcPr>
            <w:tcW w:w="9212" w:type="dxa"/>
          </w:tcPr>
          <w:p w:rsidR="0089663D" w:rsidRDefault="0089663D" w:rsidP="0089663D">
            <w:pPr>
              <w:pStyle w:val="Obrzek"/>
            </w:pPr>
            <w:bookmarkStart w:id="11" w:name="_Ref56064165"/>
            <w:r>
              <w:t xml:space="preserve">Obr. </w:t>
            </w:r>
            <w:fldSimple w:instr=" SEQ Obr. \* ARABIC ">
              <w:r w:rsidR="00816426">
                <w:rPr>
                  <w:noProof/>
                </w:rPr>
                <w:t>1</w:t>
              </w:r>
            </w:fldSimple>
            <w:bookmarkEnd w:id="11"/>
            <w:r>
              <w:t xml:space="preserve"> Prostor stávající kotelny v místnosti 3S302B, kde je uvažováno s instalací kogenerační jednotky (foto Bres spol s r. o.)</w:t>
            </w:r>
          </w:p>
        </w:tc>
      </w:tr>
    </w:tbl>
    <w:p w:rsidR="00174921" w:rsidRDefault="00174921" w:rsidP="00174921">
      <w:pPr>
        <w:pStyle w:val="Nadpis3"/>
      </w:pPr>
      <w:bookmarkStart w:id="12" w:name="_Toc58949336"/>
      <w:r>
        <w:t>Potřeba tepla pro vytápění a ohřev TV</w:t>
      </w:r>
      <w:bookmarkEnd w:id="12"/>
      <w:r>
        <w:t xml:space="preserve"> </w:t>
      </w:r>
    </w:p>
    <w:p w:rsidR="00B953BC" w:rsidRDefault="00B953BC" w:rsidP="009A2B84">
      <w:r>
        <w:t xml:space="preserve">Dle zkušeností investora jsou skutečné potřeby </w:t>
      </w:r>
      <w:r w:rsidR="00197243">
        <w:t>následující</w:t>
      </w:r>
      <w:r>
        <w:t>. Potřeba tepla pro vytápění je v maximech 650 kW (běžné spotřeby 280 kW), pro ohřev vzduchu 1600 kW (s výhledem na snížení po instalaci ZZT). V</w:t>
      </w:r>
      <w:r w:rsidR="000D7466">
        <w:t>nitřní vodovod je rozdělen</w:t>
      </w:r>
      <w:r>
        <w:t xml:space="preserve"> na dvě tlaková </w:t>
      </w:r>
      <w:r w:rsidR="000D7466">
        <w:t xml:space="preserve">pásma. Spotřeba teplé vody v obou tlakových pásmech se dle </w:t>
      </w:r>
      <w:r w:rsidR="001972D1">
        <w:t>podkladů investora</w:t>
      </w:r>
      <w:r w:rsidR="000D7466">
        <w:t xml:space="preserve"> pohybuje v maximech kolem 20 m</w:t>
      </w:r>
      <w:r w:rsidR="000D7466" w:rsidRPr="000D7466">
        <w:rPr>
          <w:vertAlign w:val="superscript"/>
        </w:rPr>
        <w:t>3</w:t>
      </w:r>
      <w:r w:rsidR="000D7466">
        <w:t>/den. Špičkový hodinový odběr TV činí přibližně 2 m</w:t>
      </w:r>
      <w:r w:rsidR="000D7466" w:rsidRPr="000D7466">
        <w:rPr>
          <w:vertAlign w:val="superscript"/>
        </w:rPr>
        <w:t>3</w:t>
      </w:r>
      <w:r w:rsidR="000D7466">
        <w:t>/h.</w:t>
      </w:r>
    </w:p>
    <w:p w:rsidR="00DA0D15" w:rsidRDefault="00642A19" w:rsidP="00DA0D15">
      <w:pPr>
        <w:pStyle w:val="Nadpis3"/>
      </w:pPr>
      <w:bookmarkStart w:id="13" w:name="_Toc58949337"/>
      <w:r>
        <w:t>Měsíční</w:t>
      </w:r>
      <w:r w:rsidR="00DA0D15">
        <w:t xml:space="preserve"> bilance </w:t>
      </w:r>
      <w:r w:rsidR="00FC7F8F">
        <w:t>s</w:t>
      </w:r>
      <w:r w:rsidR="00DA0D15">
        <w:t>potřeby tepla</w:t>
      </w:r>
      <w:bookmarkEnd w:id="13"/>
    </w:p>
    <w:p w:rsidR="00275DA1" w:rsidRDefault="00DA0D15" w:rsidP="00DA0D15">
      <w:r>
        <w:t xml:space="preserve">Skutečný stav </w:t>
      </w:r>
      <w:r w:rsidR="00FC7F8F">
        <w:t>s</w:t>
      </w:r>
      <w:r>
        <w:t xml:space="preserve">potřeby tepla v jednotlivých měsících let 2019, 2020 ukazují </w:t>
      </w:r>
      <w:r w:rsidR="002E1B09">
        <w:fldChar w:fldCharType="begin"/>
      </w:r>
      <w:r w:rsidR="002E1B09">
        <w:instrText xml:space="preserve"> REF _Ref57191543 \h </w:instrText>
      </w:r>
      <w:r w:rsidR="002E1B09">
        <w:fldChar w:fldCharType="separate"/>
      </w:r>
      <w:r w:rsidR="00816426">
        <w:t xml:space="preserve">Graf </w:t>
      </w:r>
      <w:r w:rsidR="00816426">
        <w:rPr>
          <w:noProof/>
        </w:rPr>
        <w:t>1</w:t>
      </w:r>
      <w:r w:rsidR="002E1B09">
        <w:fldChar w:fldCharType="end"/>
      </w:r>
      <w:r w:rsidR="002E1B09">
        <w:t xml:space="preserve"> a </w:t>
      </w:r>
      <w:r w:rsidR="002E1B09">
        <w:fldChar w:fldCharType="begin"/>
      </w:r>
      <w:r w:rsidR="002E1B09">
        <w:instrText xml:space="preserve"> REF _Ref57191557 \h </w:instrText>
      </w:r>
      <w:r w:rsidR="002E1B09">
        <w:fldChar w:fldCharType="separate"/>
      </w:r>
      <w:r w:rsidR="00816426">
        <w:t xml:space="preserve">Graf </w:t>
      </w:r>
      <w:r w:rsidR="00816426">
        <w:rPr>
          <w:noProof/>
        </w:rPr>
        <w:t>2</w:t>
      </w:r>
      <w:r w:rsidR="002E1B09">
        <w:fldChar w:fldCharType="end"/>
      </w:r>
      <w:r w:rsidR="002E1B09">
        <w:t>.</w:t>
      </w:r>
      <w:r>
        <w:t xml:space="preserve"> Pod</w:t>
      </w:r>
      <w:r w:rsidR="00275DA1">
        <w:t xml:space="preserve">kladem pro zpracování grafů byly hodinové odečty stavu plynoměru. Z nich pak byly po převedení na MWh a zohlednění účinnosti plynových kotlů (dle provozovatele 92 %) stanoveny měsíční </w:t>
      </w:r>
      <w:r w:rsidR="00FC7F8F">
        <w:t>s</w:t>
      </w:r>
      <w:r w:rsidR="00275DA1">
        <w:t>potřeby tepla.</w:t>
      </w:r>
    </w:p>
    <w:p w:rsidR="00D001AF" w:rsidRDefault="00D001AF" w:rsidP="00DA0D15">
      <w:r>
        <w:t xml:space="preserve">Z uvedených grafů je patrné zejména to, že spotřeby tepla v letních měsících byly velmi nízké. Během nich je totiž teplo používáno pouze na ohřev teplé vody, který je navíc částečně zajištěn z odpadního tepla blokových chladicích jednotek 5, 6 – viz dále. </w:t>
      </w:r>
      <w:r w:rsidR="00CC2E4D">
        <w:t>Spotřeba tepla je jedním z návrhových kritérií pro výběr kogenerační jednotky a určení jejích provozních hodin během dne v jednotlivých měsících.</w:t>
      </w:r>
    </w:p>
    <w:tbl>
      <w:tblPr>
        <w:tblStyle w:val="Mkatabulky"/>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212"/>
      </w:tblGrid>
      <w:tr w:rsidR="0009422C" w:rsidTr="0009422C">
        <w:tc>
          <w:tcPr>
            <w:tcW w:w="9212" w:type="dxa"/>
          </w:tcPr>
          <w:p w:rsidR="0009422C" w:rsidRDefault="0009422C" w:rsidP="0009422C">
            <w:pPr>
              <w:keepNext/>
            </w:pPr>
            <w:r>
              <w:rPr>
                <w:noProof/>
                <w:lang w:eastAsia="cs-CZ"/>
              </w:rPr>
              <w:drawing>
                <wp:inline distT="0" distB="0" distL="0" distR="0" wp14:anchorId="32814BC5" wp14:editId="254490EC">
                  <wp:extent cx="5760000" cy="3780000"/>
                  <wp:effectExtent l="0" t="0" r="0" b="0"/>
                  <wp:docPr id="35" name="Graf 35">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09422C" w:rsidTr="0009422C">
        <w:tblPrEx>
          <w:tblCellMar>
            <w:left w:w="108" w:type="dxa"/>
            <w:right w:w="108" w:type="dxa"/>
          </w:tblCellMar>
        </w:tblPrEx>
        <w:tc>
          <w:tcPr>
            <w:tcW w:w="9212" w:type="dxa"/>
          </w:tcPr>
          <w:p w:rsidR="0009422C" w:rsidRDefault="0009422C" w:rsidP="0009422C">
            <w:pPr>
              <w:pStyle w:val="Obrzek"/>
              <w:keepNext w:val="0"/>
            </w:pPr>
            <w:bookmarkStart w:id="14" w:name="_Ref57191543"/>
            <w:r>
              <w:t xml:space="preserve">Graf </w:t>
            </w:r>
            <w:fldSimple w:instr=" SEQ Graf \* ARABIC ">
              <w:r w:rsidR="00816426">
                <w:rPr>
                  <w:noProof/>
                </w:rPr>
                <w:t>1</w:t>
              </w:r>
            </w:fldSimple>
            <w:bookmarkEnd w:id="14"/>
            <w:r>
              <w:t xml:space="preserve"> Měsíční </w:t>
            </w:r>
            <w:r w:rsidR="00FC7F8F">
              <w:t>s</w:t>
            </w:r>
            <w:r>
              <w:t>potřeby tepla 2019 (po započítání účinnosti kotle)</w:t>
            </w:r>
          </w:p>
        </w:tc>
      </w:tr>
      <w:tr w:rsidR="0009422C" w:rsidTr="0009422C">
        <w:tc>
          <w:tcPr>
            <w:tcW w:w="9212" w:type="dxa"/>
          </w:tcPr>
          <w:p w:rsidR="0009422C" w:rsidRDefault="0009422C" w:rsidP="0009422C">
            <w:pPr>
              <w:keepNext/>
            </w:pPr>
            <w:r>
              <w:rPr>
                <w:noProof/>
                <w:lang w:eastAsia="cs-CZ"/>
              </w:rPr>
              <w:drawing>
                <wp:inline distT="0" distB="0" distL="0" distR="0" wp14:anchorId="527864BB" wp14:editId="6FBD4035">
                  <wp:extent cx="5760000" cy="3780000"/>
                  <wp:effectExtent l="0" t="0" r="0" b="0"/>
                  <wp:docPr id="45" name="Graf 45">
                    <a:extLst xmlns:a="http://schemas.openxmlformats.org/drawingml/2006/main">
                      <a:ext uri="{FF2B5EF4-FFF2-40B4-BE49-F238E27FC236}">
                        <a16:creationId xmlns:a16="http://schemas.microsoft.com/office/drawing/2014/main" id="{2927C241-F599-4D26-934C-2516871DC9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09422C" w:rsidTr="0009422C">
        <w:tblPrEx>
          <w:tblCellMar>
            <w:left w:w="108" w:type="dxa"/>
            <w:right w:w="108" w:type="dxa"/>
          </w:tblCellMar>
        </w:tblPrEx>
        <w:tc>
          <w:tcPr>
            <w:tcW w:w="9212" w:type="dxa"/>
          </w:tcPr>
          <w:p w:rsidR="0009422C" w:rsidRDefault="0009422C" w:rsidP="0009422C">
            <w:pPr>
              <w:pStyle w:val="Obrzek"/>
            </w:pPr>
            <w:bookmarkStart w:id="15" w:name="_Ref57191557"/>
            <w:r>
              <w:t xml:space="preserve">Graf </w:t>
            </w:r>
            <w:fldSimple w:instr=" SEQ Graf \* ARABIC ">
              <w:r w:rsidR="00816426">
                <w:rPr>
                  <w:noProof/>
                </w:rPr>
                <w:t>2</w:t>
              </w:r>
            </w:fldSimple>
            <w:bookmarkEnd w:id="15"/>
            <w:r>
              <w:t xml:space="preserve"> Měsíční </w:t>
            </w:r>
            <w:r w:rsidR="00FC7F8F">
              <w:t>s</w:t>
            </w:r>
            <w:r>
              <w:t>potřeby tepla 2020 (po započítání účinnosti kotle)</w:t>
            </w:r>
          </w:p>
        </w:tc>
      </w:tr>
    </w:tbl>
    <w:p w:rsidR="00DA0D15" w:rsidRDefault="00642A19" w:rsidP="00F01A97">
      <w:pPr>
        <w:pStyle w:val="Nadpis3"/>
      </w:pPr>
      <w:bookmarkStart w:id="16" w:name="_Toc58949338"/>
      <w:r>
        <w:t>Hodinov</w:t>
      </w:r>
      <w:r w:rsidR="00D82225">
        <w:t>é</w:t>
      </w:r>
      <w:r w:rsidR="00F01A97">
        <w:t xml:space="preserve"> bilance </w:t>
      </w:r>
      <w:r w:rsidR="00A10D0B">
        <w:t>s</w:t>
      </w:r>
      <w:r w:rsidR="00F01A97">
        <w:t>potřeby tepla</w:t>
      </w:r>
      <w:bookmarkEnd w:id="16"/>
      <w:r w:rsidR="00F01A97">
        <w:t xml:space="preserve"> </w:t>
      </w:r>
    </w:p>
    <w:p w:rsidR="00F01A97" w:rsidRDefault="00F01A97" w:rsidP="00F01A97">
      <w:r>
        <w:t xml:space="preserve">V rámci </w:t>
      </w:r>
      <w:r w:rsidR="00642A19">
        <w:t>hodinových</w:t>
      </w:r>
      <w:r w:rsidR="0046160E">
        <w:t xml:space="preserve"> </w:t>
      </w:r>
      <w:r w:rsidR="00D82225">
        <w:t>s</w:t>
      </w:r>
      <w:r w:rsidR="0046160E">
        <w:t xml:space="preserve">potřeb tepla se významně </w:t>
      </w:r>
      <w:r w:rsidR="00A10D0B">
        <w:t>lišila</w:t>
      </w:r>
      <w:r w:rsidR="0046160E">
        <w:t xml:space="preserve"> </w:t>
      </w:r>
      <w:r w:rsidR="00A10D0B">
        <w:t>s</w:t>
      </w:r>
      <w:r w:rsidR="0046160E">
        <w:t>potřeba tepla v zimních a letních měsících a </w:t>
      </w:r>
      <w:r w:rsidR="00774754">
        <w:t xml:space="preserve">také během pracovních a víkendových dnů. Z tohoto důvodu byly pro </w:t>
      </w:r>
      <w:r w:rsidR="00642A19">
        <w:t>hodinové</w:t>
      </w:r>
      <w:r w:rsidR="00774754">
        <w:t xml:space="preserve"> bilance vybrány následující dny: 3. 2. 2019 (neděle</w:t>
      </w:r>
      <w:r w:rsidR="001C7782">
        <w:t xml:space="preserve">, </w:t>
      </w:r>
      <w:r w:rsidR="00FC7F8F">
        <w:fldChar w:fldCharType="begin"/>
      </w:r>
      <w:r w:rsidR="00FC7F8F">
        <w:instrText xml:space="preserve"> REF _Ref57195675 \h </w:instrText>
      </w:r>
      <w:r w:rsidR="00FC7F8F">
        <w:fldChar w:fldCharType="separate"/>
      </w:r>
      <w:r w:rsidR="00816426">
        <w:t xml:space="preserve">Graf </w:t>
      </w:r>
      <w:r w:rsidR="00816426">
        <w:rPr>
          <w:noProof/>
        </w:rPr>
        <w:t>3</w:t>
      </w:r>
      <w:r w:rsidR="00FC7F8F">
        <w:fldChar w:fldCharType="end"/>
      </w:r>
      <w:r w:rsidR="00774754">
        <w:t>), 4. 2. 2019 (pondělí</w:t>
      </w:r>
      <w:r w:rsidR="001C7782">
        <w:t xml:space="preserve">, </w:t>
      </w:r>
      <w:r w:rsidR="00FC7F8F">
        <w:fldChar w:fldCharType="begin"/>
      </w:r>
      <w:r w:rsidR="00FC7F8F">
        <w:instrText xml:space="preserve"> REF _Ref57195689 \h </w:instrText>
      </w:r>
      <w:r w:rsidR="00FC7F8F">
        <w:fldChar w:fldCharType="separate"/>
      </w:r>
      <w:r w:rsidR="00816426">
        <w:t xml:space="preserve">Graf </w:t>
      </w:r>
      <w:r w:rsidR="00816426">
        <w:rPr>
          <w:noProof/>
        </w:rPr>
        <w:t>4</w:t>
      </w:r>
      <w:r w:rsidR="00FC7F8F">
        <w:fldChar w:fldCharType="end"/>
      </w:r>
      <w:r w:rsidR="00774754">
        <w:t>), 21. 7. 2019 (neděle</w:t>
      </w:r>
      <w:r w:rsidR="001C7782">
        <w:t xml:space="preserve">, </w:t>
      </w:r>
      <w:r w:rsidR="008805C7">
        <w:fldChar w:fldCharType="begin"/>
      </w:r>
      <w:r w:rsidR="008805C7">
        <w:instrText xml:space="preserve"> REF _Ref57196131 \h </w:instrText>
      </w:r>
      <w:r w:rsidR="008805C7">
        <w:fldChar w:fldCharType="separate"/>
      </w:r>
      <w:r w:rsidR="00816426">
        <w:t xml:space="preserve">Graf </w:t>
      </w:r>
      <w:r w:rsidR="00816426">
        <w:rPr>
          <w:noProof/>
        </w:rPr>
        <w:t>5</w:t>
      </w:r>
      <w:r w:rsidR="008805C7">
        <w:fldChar w:fldCharType="end"/>
      </w:r>
      <w:r w:rsidR="00774754">
        <w:t>), 22. 7. 2019 (pondělí</w:t>
      </w:r>
      <w:r w:rsidR="001C7782">
        <w:t xml:space="preserve">, </w:t>
      </w:r>
      <w:r w:rsidR="008805C7">
        <w:fldChar w:fldCharType="begin"/>
      </w:r>
      <w:r w:rsidR="008805C7">
        <w:instrText xml:space="preserve"> REF _Ref57196145 \h </w:instrText>
      </w:r>
      <w:r w:rsidR="008805C7">
        <w:fldChar w:fldCharType="separate"/>
      </w:r>
      <w:r w:rsidR="00816426">
        <w:t xml:space="preserve">Graf </w:t>
      </w:r>
      <w:r w:rsidR="00816426">
        <w:rPr>
          <w:noProof/>
        </w:rPr>
        <w:t>6</w:t>
      </w:r>
      <w:r w:rsidR="008805C7">
        <w:fldChar w:fldCharType="end"/>
      </w:r>
      <w:r w:rsidR="00774754">
        <w:t>).</w:t>
      </w:r>
    </w:p>
    <w:p w:rsidR="006B645B" w:rsidRDefault="006B645B" w:rsidP="00F01A97">
      <w:r>
        <w:t xml:space="preserve">Zimní víkendový den (viz </w:t>
      </w:r>
      <w:r>
        <w:fldChar w:fldCharType="begin"/>
      </w:r>
      <w:r>
        <w:instrText xml:space="preserve"> REF _Ref57195675 \h </w:instrText>
      </w:r>
      <w:r>
        <w:fldChar w:fldCharType="separate"/>
      </w:r>
      <w:r w:rsidR="00816426">
        <w:t xml:space="preserve">Graf </w:t>
      </w:r>
      <w:r w:rsidR="00816426">
        <w:rPr>
          <w:noProof/>
        </w:rPr>
        <w:t>3</w:t>
      </w:r>
      <w:r>
        <w:fldChar w:fldCharType="end"/>
      </w:r>
      <w:r>
        <w:t xml:space="preserve">) – Hodinové spotřeby tepla během dne jsou poměrně vyrovnané. Jedná se především o teplo spotřebované pro vytápění, jejich velikost závisí tedy především na průběhu venkovní teploty.  </w:t>
      </w:r>
    </w:p>
    <w:p w:rsidR="006B645B" w:rsidRDefault="00974CA4" w:rsidP="00F01A97">
      <w:r>
        <w:t xml:space="preserve">Zimní pracovní den (viz </w:t>
      </w:r>
      <w:r>
        <w:fldChar w:fldCharType="begin"/>
      </w:r>
      <w:r>
        <w:instrText xml:space="preserve"> REF _Ref57195689 \h </w:instrText>
      </w:r>
      <w:r>
        <w:fldChar w:fldCharType="separate"/>
      </w:r>
      <w:r w:rsidR="00816426">
        <w:t xml:space="preserve">Graf </w:t>
      </w:r>
      <w:r w:rsidR="00816426">
        <w:rPr>
          <w:noProof/>
        </w:rPr>
        <w:t>4</w:t>
      </w:r>
      <w:r>
        <w:fldChar w:fldCharType="end"/>
      </w:r>
      <w:r>
        <w:t>) – Maximální spotřeba tepla je v ranních hodinách (</w:t>
      </w:r>
      <w:r w:rsidR="0048776B">
        <w:t>od 3:00 do 9:00</w:t>
      </w:r>
      <w:r>
        <w:t xml:space="preserve">). Je to dáno především ranním spuštěním VZT zařízení, dále také ohřevem teplé vody pro gastronomický provoz. </w:t>
      </w:r>
    </w:p>
    <w:p w:rsidR="00974CA4" w:rsidRDefault="00974CA4" w:rsidP="00F01A97">
      <w:r>
        <w:t xml:space="preserve">Letní víkendový den (viz </w:t>
      </w:r>
      <w:r>
        <w:fldChar w:fldCharType="begin"/>
      </w:r>
      <w:r>
        <w:instrText xml:space="preserve"> REF _Ref57196131 \h </w:instrText>
      </w:r>
      <w:r>
        <w:fldChar w:fldCharType="separate"/>
      </w:r>
      <w:r w:rsidR="00816426">
        <w:t xml:space="preserve">Graf </w:t>
      </w:r>
      <w:r w:rsidR="00816426">
        <w:rPr>
          <w:noProof/>
        </w:rPr>
        <w:t>5</w:t>
      </w:r>
      <w:r>
        <w:fldChar w:fldCharType="end"/>
      </w:r>
      <w:r>
        <w:t>) – Spotřeba tepla během dne je velmi nízká. V některých hodinách dokonce nulová. Řádově jsou letní spotřeby tepla přibližně desetkrát menší než v zimních měsících.</w:t>
      </w:r>
    </w:p>
    <w:p w:rsidR="00974CA4" w:rsidRDefault="00974CA4" w:rsidP="00F01A97">
      <w:r>
        <w:t xml:space="preserve">Letní pracovní den (viz </w:t>
      </w:r>
      <w:r>
        <w:fldChar w:fldCharType="begin"/>
      </w:r>
      <w:r>
        <w:instrText xml:space="preserve"> REF _Ref57196145 \h </w:instrText>
      </w:r>
      <w:r>
        <w:fldChar w:fldCharType="separate"/>
      </w:r>
      <w:r w:rsidR="00816426">
        <w:t xml:space="preserve">Graf </w:t>
      </w:r>
      <w:r w:rsidR="00816426">
        <w:rPr>
          <w:noProof/>
        </w:rPr>
        <w:t>6</w:t>
      </w:r>
      <w:r>
        <w:fldChar w:fldCharType="end"/>
      </w:r>
      <w:r>
        <w:t xml:space="preserve">) </w:t>
      </w:r>
      <w:r w:rsidR="0048776B">
        <w:t>–</w:t>
      </w:r>
      <w:r>
        <w:t xml:space="preserve"> </w:t>
      </w:r>
      <w:r w:rsidR="0048776B">
        <w:t>Spotřeba tepla je poměrně stálá od 3:</w:t>
      </w:r>
      <w:r w:rsidR="003D40DA">
        <w:t xml:space="preserve">00 do 17:00. Je charakterizována odběrem tepla pro ohřev teplé vody. Ranní maximum je způsobeno odběrem teplé vody pro gastronomický provoz. Opět platí, že spotřeba tepla je přibližně desetkrát menší než v zimních měsících. </w:t>
      </w:r>
    </w:p>
    <w:tbl>
      <w:tblPr>
        <w:tblStyle w:val="Mkatabulky"/>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212"/>
      </w:tblGrid>
      <w:tr w:rsidR="001C7782" w:rsidTr="00683562">
        <w:tc>
          <w:tcPr>
            <w:tcW w:w="9212" w:type="dxa"/>
          </w:tcPr>
          <w:p w:rsidR="001C7782" w:rsidRDefault="00683562" w:rsidP="00FC7F8F">
            <w:pPr>
              <w:keepNext/>
            </w:pPr>
            <w:r>
              <w:rPr>
                <w:noProof/>
                <w:lang w:eastAsia="cs-CZ"/>
              </w:rPr>
              <w:drawing>
                <wp:inline distT="0" distB="0" distL="0" distR="0" wp14:anchorId="4A552F22" wp14:editId="40FE0B2F">
                  <wp:extent cx="5760000" cy="3780000"/>
                  <wp:effectExtent l="0" t="0" r="0" b="0"/>
                  <wp:docPr id="59" name="Graf 59">
                    <a:extLst xmlns:a="http://schemas.openxmlformats.org/drawingml/2006/main">
                      <a:ext uri="{FF2B5EF4-FFF2-40B4-BE49-F238E27FC236}">
                        <a16:creationId xmlns:a16="http://schemas.microsoft.com/office/drawing/2014/main" id="{F55D1442-43CE-4E0A-960E-A20DC59C9E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1C7782" w:rsidTr="00683562">
        <w:tblPrEx>
          <w:tblCellMar>
            <w:left w:w="108" w:type="dxa"/>
            <w:right w:w="108" w:type="dxa"/>
          </w:tblCellMar>
        </w:tblPrEx>
        <w:tc>
          <w:tcPr>
            <w:tcW w:w="9212" w:type="dxa"/>
          </w:tcPr>
          <w:p w:rsidR="001C7782" w:rsidRDefault="00FC7F8F" w:rsidP="00197243">
            <w:pPr>
              <w:pStyle w:val="Obrzek"/>
              <w:keepNext w:val="0"/>
            </w:pPr>
            <w:bookmarkStart w:id="17" w:name="_Ref57195675"/>
            <w:r>
              <w:t xml:space="preserve">Graf </w:t>
            </w:r>
            <w:fldSimple w:instr=" SEQ Graf \* ARABIC ">
              <w:r w:rsidR="00816426">
                <w:rPr>
                  <w:noProof/>
                </w:rPr>
                <w:t>3</w:t>
              </w:r>
            </w:fldSimple>
            <w:bookmarkEnd w:id="17"/>
            <w:r>
              <w:t xml:space="preserve"> </w:t>
            </w:r>
            <w:r w:rsidR="00642A19">
              <w:t>Hodinov</w:t>
            </w:r>
            <w:r w:rsidR="00D82225">
              <w:t>é</w:t>
            </w:r>
            <w:r>
              <w:t xml:space="preserve"> spotřeb</w:t>
            </w:r>
            <w:r w:rsidR="00D82225">
              <w:t>y</w:t>
            </w:r>
            <w:r>
              <w:t xml:space="preserve"> tepla (neděle 3. 2. 2019)</w:t>
            </w:r>
          </w:p>
        </w:tc>
      </w:tr>
      <w:tr w:rsidR="00FC7F8F" w:rsidTr="00683562">
        <w:tc>
          <w:tcPr>
            <w:tcW w:w="9212" w:type="dxa"/>
          </w:tcPr>
          <w:p w:rsidR="00FC7F8F" w:rsidRDefault="00683562" w:rsidP="00FC7F8F">
            <w:pPr>
              <w:pStyle w:val="Obrzek"/>
            </w:pPr>
            <w:r>
              <w:rPr>
                <w:noProof/>
                <w:lang w:eastAsia="cs-CZ"/>
              </w:rPr>
              <w:drawing>
                <wp:inline distT="0" distB="0" distL="0" distR="0" wp14:anchorId="6CFFF020" wp14:editId="31ABE49A">
                  <wp:extent cx="5760000" cy="3780000"/>
                  <wp:effectExtent l="0" t="0" r="0" b="0"/>
                  <wp:docPr id="60" name="Graf 60">
                    <a:extLst xmlns:a="http://schemas.openxmlformats.org/drawingml/2006/main">
                      <a:ext uri="{FF2B5EF4-FFF2-40B4-BE49-F238E27FC236}">
                        <a16:creationId xmlns:a16="http://schemas.microsoft.com/office/drawing/2014/main" id="{F072519E-285A-4039-A049-6B4B36449D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FC7F8F" w:rsidTr="00683562">
        <w:tblPrEx>
          <w:tblCellMar>
            <w:left w:w="108" w:type="dxa"/>
            <w:right w:w="108" w:type="dxa"/>
          </w:tblCellMar>
        </w:tblPrEx>
        <w:tc>
          <w:tcPr>
            <w:tcW w:w="9212" w:type="dxa"/>
          </w:tcPr>
          <w:p w:rsidR="00FC7F8F" w:rsidRPr="00FC7F8F" w:rsidRDefault="00FC7F8F" w:rsidP="00792D99">
            <w:pPr>
              <w:pStyle w:val="Obrzek"/>
              <w:keepNext w:val="0"/>
            </w:pPr>
            <w:bookmarkStart w:id="18" w:name="_Ref57195689"/>
            <w:r>
              <w:t xml:space="preserve">Graf </w:t>
            </w:r>
            <w:fldSimple w:instr=" SEQ Graf \* ARABIC ">
              <w:r w:rsidR="00816426">
                <w:rPr>
                  <w:noProof/>
                </w:rPr>
                <w:t>4</w:t>
              </w:r>
            </w:fldSimple>
            <w:bookmarkEnd w:id="18"/>
            <w:r>
              <w:t xml:space="preserve"> </w:t>
            </w:r>
            <w:r w:rsidR="00642A19">
              <w:t>Hodinov</w:t>
            </w:r>
            <w:r w:rsidR="00D82225">
              <w:t>é</w:t>
            </w:r>
            <w:r>
              <w:t xml:space="preserve"> spotřeb</w:t>
            </w:r>
            <w:r w:rsidR="00D82225">
              <w:t>y</w:t>
            </w:r>
            <w:r>
              <w:t xml:space="preserve"> tepla (pondělí 4. 2. 2019)</w:t>
            </w:r>
          </w:p>
        </w:tc>
      </w:tr>
      <w:tr w:rsidR="00FC7F8F" w:rsidTr="00683562">
        <w:tc>
          <w:tcPr>
            <w:tcW w:w="9212" w:type="dxa"/>
          </w:tcPr>
          <w:p w:rsidR="00FC7F8F" w:rsidRDefault="00683562" w:rsidP="00FC7F8F">
            <w:pPr>
              <w:pStyle w:val="Obrzek"/>
            </w:pPr>
            <w:r>
              <w:rPr>
                <w:noProof/>
                <w:lang w:eastAsia="cs-CZ"/>
              </w:rPr>
              <w:drawing>
                <wp:inline distT="0" distB="0" distL="0" distR="0" wp14:anchorId="2A6DADDB" wp14:editId="4CB37017">
                  <wp:extent cx="5760000" cy="3780000"/>
                  <wp:effectExtent l="0" t="0" r="0" b="0"/>
                  <wp:docPr id="67" name="Graf 67">
                    <a:extLst xmlns:a="http://schemas.openxmlformats.org/drawingml/2006/main">
                      <a:ext uri="{FF2B5EF4-FFF2-40B4-BE49-F238E27FC236}">
                        <a16:creationId xmlns:a16="http://schemas.microsoft.com/office/drawing/2014/main" id="{41950C99-573A-4F37-A3C5-8938A5F389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FC7F8F" w:rsidTr="00683562">
        <w:tblPrEx>
          <w:tblCellMar>
            <w:left w:w="108" w:type="dxa"/>
            <w:right w:w="108" w:type="dxa"/>
          </w:tblCellMar>
        </w:tblPrEx>
        <w:tc>
          <w:tcPr>
            <w:tcW w:w="9212" w:type="dxa"/>
          </w:tcPr>
          <w:p w:rsidR="00FC7F8F" w:rsidRDefault="00FC7F8F" w:rsidP="00D82225">
            <w:pPr>
              <w:pStyle w:val="Obrzek"/>
            </w:pPr>
            <w:bookmarkStart w:id="19" w:name="_Ref57196131"/>
            <w:r>
              <w:t xml:space="preserve">Graf </w:t>
            </w:r>
            <w:fldSimple w:instr=" SEQ Graf \* ARABIC ">
              <w:r w:rsidR="00816426">
                <w:rPr>
                  <w:noProof/>
                </w:rPr>
                <w:t>5</w:t>
              </w:r>
            </w:fldSimple>
            <w:bookmarkEnd w:id="19"/>
            <w:r>
              <w:t xml:space="preserve"> </w:t>
            </w:r>
            <w:r w:rsidR="00642A19">
              <w:t>Hodinov</w:t>
            </w:r>
            <w:r w:rsidR="00D82225">
              <w:t>é</w:t>
            </w:r>
            <w:r>
              <w:t xml:space="preserve"> spotřeb</w:t>
            </w:r>
            <w:r w:rsidR="00D82225">
              <w:t>y</w:t>
            </w:r>
            <w:r>
              <w:t xml:space="preserve"> tepla (neděle 21. 7. 2019)</w:t>
            </w:r>
          </w:p>
        </w:tc>
      </w:tr>
      <w:tr w:rsidR="00FC7F8F" w:rsidTr="00683562">
        <w:tc>
          <w:tcPr>
            <w:tcW w:w="9212" w:type="dxa"/>
          </w:tcPr>
          <w:p w:rsidR="00FC7F8F" w:rsidRDefault="00683562" w:rsidP="00FC7F8F">
            <w:pPr>
              <w:pStyle w:val="Obrzek"/>
            </w:pPr>
            <w:r>
              <w:rPr>
                <w:noProof/>
                <w:lang w:eastAsia="cs-CZ"/>
              </w:rPr>
              <w:drawing>
                <wp:inline distT="0" distB="0" distL="0" distR="0" wp14:anchorId="1AE011C7" wp14:editId="2116B698">
                  <wp:extent cx="5760000" cy="3780000"/>
                  <wp:effectExtent l="0" t="0" r="0" b="0"/>
                  <wp:docPr id="68" name="Graf 68">
                    <a:extLst xmlns:a="http://schemas.openxmlformats.org/drawingml/2006/main">
                      <a:ext uri="{FF2B5EF4-FFF2-40B4-BE49-F238E27FC236}">
                        <a16:creationId xmlns:a16="http://schemas.microsoft.com/office/drawing/2014/main" id="{A9C88BB8-63E6-44D7-BB2E-183D10B2B9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FC7F8F" w:rsidTr="00683562">
        <w:tblPrEx>
          <w:tblCellMar>
            <w:left w:w="108" w:type="dxa"/>
            <w:right w:w="108" w:type="dxa"/>
          </w:tblCellMar>
        </w:tblPrEx>
        <w:tc>
          <w:tcPr>
            <w:tcW w:w="9212" w:type="dxa"/>
          </w:tcPr>
          <w:p w:rsidR="00FC7F8F" w:rsidRPr="00FC7F8F" w:rsidRDefault="00FC7F8F" w:rsidP="00642A19">
            <w:pPr>
              <w:pStyle w:val="Obrzek"/>
            </w:pPr>
            <w:bookmarkStart w:id="20" w:name="_Ref57196145"/>
            <w:r>
              <w:t xml:space="preserve">Graf </w:t>
            </w:r>
            <w:fldSimple w:instr=" SEQ Graf \* ARABIC ">
              <w:r w:rsidR="00816426">
                <w:rPr>
                  <w:noProof/>
                </w:rPr>
                <w:t>6</w:t>
              </w:r>
            </w:fldSimple>
            <w:bookmarkEnd w:id="20"/>
            <w:r>
              <w:t xml:space="preserve"> </w:t>
            </w:r>
            <w:r w:rsidR="00642A19">
              <w:t>H</w:t>
            </w:r>
            <w:r w:rsidR="00D82225">
              <w:t>odinové spotřeby</w:t>
            </w:r>
            <w:r>
              <w:t xml:space="preserve"> tepla (pondělí 22. 7. 2019)</w:t>
            </w:r>
          </w:p>
        </w:tc>
      </w:tr>
    </w:tbl>
    <w:p w:rsidR="000D7466" w:rsidRDefault="000D7466" w:rsidP="000D7466">
      <w:pPr>
        <w:pStyle w:val="Nadpis2"/>
      </w:pPr>
      <w:bookmarkStart w:id="21" w:name="_Toc58949339"/>
      <w:r>
        <w:t>Chlazení (výchozí stav)</w:t>
      </w:r>
      <w:bookmarkEnd w:id="21"/>
    </w:p>
    <w:p w:rsidR="000D7466" w:rsidRDefault="00C021E3" w:rsidP="000D7466">
      <w:r>
        <w:t>Zdroj chladu v ústředí ČNB lze logicky členit na letní (dále „zdroj chladu CH1“) a celoroční (dále „zdroj chladu CH2).</w:t>
      </w:r>
    </w:p>
    <w:p w:rsidR="00CB397B" w:rsidRDefault="00CB397B" w:rsidP="00CB397B">
      <w:pPr>
        <w:pStyle w:val="Nadpis3"/>
      </w:pPr>
      <w:bookmarkStart w:id="22" w:name="_Toc58949340"/>
      <w:r>
        <w:t>Zdroj chladu CH1</w:t>
      </w:r>
      <w:r w:rsidR="00F0487B">
        <w:t xml:space="preserve"> – letní chlazení</w:t>
      </w:r>
      <w:r>
        <w:t xml:space="preserve"> (výchozí stav)</w:t>
      </w:r>
      <w:bookmarkEnd w:id="22"/>
    </w:p>
    <w:p w:rsidR="00376FB3" w:rsidRDefault="00C021E3" w:rsidP="00D43EEE">
      <w:r>
        <w:t>Zdroj chladu CH1 zastupují blokové chladící jednotky 5, 6 (dále „BCHJ 5, 6“). Jedná se o dvě jednotky AERMEC NRB 2600 X TA J 00 (</w:t>
      </w:r>
      <w:r w:rsidR="00376FB3">
        <w:t>parametry viz</w:t>
      </w:r>
      <w:r w:rsidR="00D43EEE">
        <w:t xml:space="preserve"> </w:t>
      </w:r>
      <w:r w:rsidR="00423DAB">
        <w:fldChar w:fldCharType="begin"/>
      </w:r>
      <w:r w:rsidR="00423DAB">
        <w:instrText xml:space="preserve"> REF _Ref56803882 \h </w:instrText>
      </w:r>
      <w:r w:rsidR="00423DAB">
        <w:fldChar w:fldCharType="separate"/>
      </w:r>
      <w:r w:rsidR="00816426">
        <w:t xml:space="preserve">Tab. </w:t>
      </w:r>
      <w:r w:rsidR="00816426">
        <w:rPr>
          <w:noProof/>
        </w:rPr>
        <w:t>1</w:t>
      </w:r>
      <w:r w:rsidR="00423DAB">
        <w:fldChar w:fldCharType="end"/>
      </w:r>
      <w:r w:rsidR="0089663D">
        <w:t xml:space="preserve">, </w:t>
      </w:r>
      <w:r w:rsidR="0089663D" w:rsidRPr="00E37677">
        <w:t>foto viz</w:t>
      </w:r>
      <w:r w:rsidR="00E37677" w:rsidRPr="00E37677">
        <w:t xml:space="preserve"> </w:t>
      </w:r>
      <w:r w:rsidR="00E37677" w:rsidRPr="00E37677">
        <w:fldChar w:fldCharType="begin"/>
      </w:r>
      <w:r w:rsidR="00E37677" w:rsidRPr="00E37677">
        <w:instrText xml:space="preserve"> REF _Ref56064131 \h </w:instrText>
      </w:r>
      <w:r w:rsidR="00E37677">
        <w:instrText xml:space="preserve"> \* MERGEFORMAT </w:instrText>
      </w:r>
      <w:r w:rsidR="00E37677" w:rsidRPr="00E37677">
        <w:fldChar w:fldCharType="separate"/>
      </w:r>
      <w:r w:rsidR="00816426">
        <w:t xml:space="preserve">Obr. </w:t>
      </w:r>
      <w:r w:rsidR="00816426">
        <w:rPr>
          <w:noProof/>
        </w:rPr>
        <w:t>2</w:t>
      </w:r>
      <w:r w:rsidR="00E37677" w:rsidRPr="00E37677">
        <w:fldChar w:fldCharType="end"/>
      </w:r>
      <w:r w:rsidR="00376FB3">
        <w:t>)</w:t>
      </w:r>
      <w:r w:rsidR="00B23829">
        <w:t>. BCHJ 5, 6 jsou umístěny v 5. NP v prostoru označeném 5P411. Strojovna pro zdroj chladu CH1 se nachází v místnosti č. 5P412.</w:t>
      </w:r>
    </w:p>
    <w:p w:rsidR="00D43EEE" w:rsidRDefault="00423DAB" w:rsidP="00D43EEE">
      <w:pPr>
        <w:pStyle w:val="Tabulka"/>
      </w:pPr>
      <w:bookmarkStart w:id="23" w:name="_Ref56803882"/>
      <w:r>
        <w:t xml:space="preserve">Tab. </w:t>
      </w:r>
      <w:fldSimple w:instr=" SEQ Tab. \* ARABIC ">
        <w:r w:rsidR="00816426">
          <w:rPr>
            <w:noProof/>
          </w:rPr>
          <w:t>1</w:t>
        </w:r>
      </w:fldSimple>
      <w:bookmarkEnd w:id="23"/>
      <w:r w:rsidR="00D43EEE">
        <w:t xml:space="preserve"> Parametry stávající BCHJ 5, 6 – AERMEC NRB 2600 X TA J 00</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520"/>
      </w:tblGrid>
      <w:tr w:rsidR="00376FB3" w:rsidTr="00E42E36">
        <w:trPr>
          <w:trHeight w:val="624"/>
        </w:trPr>
        <w:tc>
          <w:tcPr>
            <w:tcW w:w="2660" w:type="dxa"/>
            <w:vAlign w:val="center"/>
          </w:tcPr>
          <w:p w:rsidR="00376FB3" w:rsidRPr="00376FB3" w:rsidRDefault="00376FB3" w:rsidP="00E42E36">
            <w:pPr>
              <w:keepNext/>
              <w:spacing w:before="0" w:after="0"/>
              <w:jc w:val="left"/>
              <w:rPr>
                <w:i/>
              </w:rPr>
            </w:pPr>
            <w:r w:rsidRPr="00376FB3">
              <w:rPr>
                <w:i/>
              </w:rPr>
              <w:t xml:space="preserve">Chladící výkon </w:t>
            </w:r>
          </w:p>
        </w:tc>
        <w:tc>
          <w:tcPr>
            <w:tcW w:w="6520" w:type="dxa"/>
            <w:vAlign w:val="center"/>
          </w:tcPr>
          <w:p w:rsidR="00376FB3" w:rsidRDefault="00376FB3" w:rsidP="00E42E36">
            <w:pPr>
              <w:keepNext/>
              <w:spacing w:before="0" w:after="0"/>
              <w:jc w:val="left"/>
            </w:pPr>
            <w:r>
              <w:t>750,4 kW (při parametrech chlazené vody 7/12 °C a venkovní teplotě 35 °C)</w:t>
            </w:r>
          </w:p>
        </w:tc>
      </w:tr>
      <w:tr w:rsidR="00376FB3" w:rsidTr="00E42E36">
        <w:trPr>
          <w:trHeight w:val="397"/>
        </w:trPr>
        <w:tc>
          <w:tcPr>
            <w:tcW w:w="2660" w:type="dxa"/>
          </w:tcPr>
          <w:p w:rsidR="00376FB3" w:rsidRPr="00376FB3" w:rsidRDefault="00376FB3" w:rsidP="00E42E36">
            <w:pPr>
              <w:keepNext/>
              <w:spacing w:before="0" w:after="0"/>
              <w:jc w:val="left"/>
              <w:rPr>
                <w:i/>
              </w:rPr>
            </w:pPr>
            <w:r w:rsidRPr="00376FB3">
              <w:rPr>
                <w:i/>
              </w:rPr>
              <w:t>Elektrický příkon</w:t>
            </w:r>
          </w:p>
        </w:tc>
        <w:tc>
          <w:tcPr>
            <w:tcW w:w="6520" w:type="dxa"/>
          </w:tcPr>
          <w:p w:rsidR="00376FB3" w:rsidRPr="001B0750" w:rsidRDefault="00376FB3" w:rsidP="00E42E36">
            <w:pPr>
              <w:keepNext/>
              <w:spacing w:before="0" w:after="0"/>
              <w:jc w:val="left"/>
            </w:pPr>
            <w:r>
              <w:t>240 kW</w:t>
            </w:r>
          </w:p>
        </w:tc>
      </w:tr>
      <w:tr w:rsidR="00376FB3" w:rsidTr="00E42E36">
        <w:trPr>
          <w:trHeight w:val="397"/>
        </w:trPr>
        <w:tc>
          <w:tcPr>
            <w:tcW w:w="2660" w:type="dxa"/>
          </w:tcPr>
          <w:p w:rsidR="00376FB3" w:rsidRPr="00376FB3" w:rsidRDefault="00376FB3" w:rsidP="00E42E36">
            <w:pPr>
              <w:keepNext/>
              <w:spacing w:before="0" w:after="0"/>
              <w:jc w:val="left"/>
              <w:rPr>
                <w:i/>
              </w:rPr>
            </w:pPr>
            <w:r w:rsidRPr="00376FB3">
              <w:rPr>
                <w:i/>
              </w:rPr>
              <w:t>EER</w:t>
            </w:r>
          </w:p>
        </w:tc>
        <w:tc>
          <w:tcPr>
            <w:tcW w:w="6520" w:type="dxa"/>
          </w:tcPr>
          <w:p w:rsidR="00376FB3" w:rsidRPr="001B0750" w:rsidRDefault="00376FB3" w:rsidP="00E42E36">
            <w:pPr>
              <w:keepNext/>
              <w:spacing w:before="0" w:after="0"/>
              <w:jc w:val="left"/>
            </w:pPr>
            <w:r>
              <w:t>3,13</w:t>
            </w:r>
          </w:p>
        </w:tc>
      </w:tr>
      <w:tr w:rsidR="00376FB3" w:rsidTr="00E42E36">
        <w:trPr>
          <w:trHeight w:val="397"/>
        </w:trPr>
        <w:tc>
          <w:tcPr>
            <w:tcW w:w="2660" w:type="dxa"/>
          </w:tcPr>
          <w:p w:rsidR="00376FB3" w:rsidRPr="00376FB3" w:rsidRDefault="00376FB3" w:rsidP="00E42E36">
            <w:pPr>
              <w:keepNext/>
              <w:spacing w:before="0" w:after="0"/>
              <w:jc w:val="left"/>
              <w:rPr>
                <w:i/>
              </w:rPr>
            </w:pPr>
            <w:r w:rsidRPr="00376FB3">
              <w:rPr>
                <w:i/>
              </w:rPr>
              <w:t>ESEER</w:t>
            </w:r>
          </w:p>
        </w:tc>
        <w:tc>
          <w:tcPr>
            <w:tcW w:w="6520" w:type="dxa"/>
          </w:tcPr>
          <w:p w:rsidR="00376FB3" w:rsidRPr="001B0750" w:rsidRDefault="00376FB3" w:rsidP="00E42E36">
            <w:pPr>
              <w:keepNext/>
              <w:spacing w:before="0" w:after="0"/>
              <w:jc w:val="left"/>
            </w:pPr>
            <w:r>
              <w:t>4,28</w:t>
            </w:r>
          </w:p>
        </w:tc>
      </w:tr>
      <w:tr w:rsidR="00376FB3" w:rsidTr="00E42E36">
        <w:trPr>
          <w:trHeight w:val="397"/>
        </w:trPr>
        <w:tc>
          <w:tcPr>
            <w:tcW w:w="2660" w:type="dxa"/>
          </w:tcPr>
          <w:p w:rsidR="00376FB3" w:rsidRPr="00376FB3" w:rsidRDefault="00376FB3" w:rsidP="00E42E36">
            <w:pPr>
              <w:keepNext/>
              <w:spacing w:before="0" w:after="0"/>
              <w:jc w:val="left"/>
              <w:rPr>
                <w:i/>
              </w:rPr>
            </w:pPr>
            <w:r w:rsidRPr="00376FB3">
              <w:rPr>
                <w:i/>
              </w:rPr>
              <w:t>Chladivo</w:t>
            </w:r>
          </w:p>
        </w:tc>
        <w:tc>
          <w:tcPr>
            <w:tcW w:w="6520" w:type="dxa"/>
          </w:tcPr>
          <w:p w:rsidR="00376FB3" w:rsidRDefault="00376FB3" w:rsidP="00E42E36">
            <w:pPr>
              <w:keepNext/>
              <w:spacing w:before="0" w:after="0"/>
              <w:jc w:val="left"/>
            </w:pPr>
            <w:r>
              <w:t>R410a</w:t>
            </w:r>
          </w:p>
        </w:tc>
      </w:tr>
      <w:tr w:rsidR="00376FB3" w:rsidTr="00E42E36">
        <w:trPr>
          <w:trHeight w:val="397"/>
        </w:trPr>
        <w:tc>
          <w:tcPr>
            <w:tcW w:w="2660" w:type="dxa"/>
          </w:tcPr>
          <w:p w:rsidR="00376FB3" w:rsidRPr="00376FB3" w:rsidRDefault="00376FB3" w:rsidP="00E42E36">
            <w:pPr>
              <w:keepNext/>
              <w:spacing w:before="0" w:after="0"/>
              <w:jc w:val="left"/>
              <w:rPr>
                <w:i/>
              </w:rPr>
            </w:pPr>
            <w:r w:rsidRPr="00376FB3">
              <w:rPr>
                <w:i/>
              </w:rPr>
              <w:t>Čistá hmotnost</w:t>
            </w:r>
          </w:p>
        </w:tc>
        <w:tc>
          <w:tcPr>
            <w:tcW w:w="6520" w:type="dxa"/>
          </w:tcPr>
          <w:p w:rsidR="00376FB3" w:rsidRDefault="00376FB3" w:rsidP="00E42E36">
            <w:pPr>
              <w:keepNext/>
              <w:spacing w:before="0" w:after="0"/>
              <w:jc w:val="left"/>
            </w:pPr>
            <w:r w:rsidRPr="00C94A81">
              <w:t>5510</w:t>
            </w:r>
            <w:r>
              <w:t xml:space="preserve"> kg</w:t>
            </w:r>
          </w:p>
        </w:tc>
      </w:tr>
      <w:tr w:rsidR="00376FB3" w:rsidTr="00E42E36">
        <w:trPr>
          <w:trHeight w:val="397"/>
        </w:trPr>
        <w:tc>
          <w:tcPr>
            <w:tcW w:w="2660" w:type="dxa"/>
          </w:tcPr>
          <w:p w:rsidR="00376FB3" w:rsidRPr="00376FB3" w:rsidRDefault="00376FB3" w:rsidP="00E42E36">
            <w:pPr>
              <w:keepNext/>
              <w:spacing w:before="0" w:after="0"/>
              <w:jc w:val="left"/>
              <w:rPr>
                <w:i/>
              </w:rPr>
            </w:pPr>
            <w:r w:rsidRPr="00376FB3">
              <w:rPr>
                <w:i/>
              </w:rPr>
              <w:t>Akustický výkon</w:t>
            </w:r>
          </w:p>
        </w:tc>
        <w:tc>
          <w:tcPr>
            <w:tcW w:w="6520" w:type="dxa"/>
          </w:tcPr>
          <w:p w:rsidR="00376FB3" w:rsidRDefault="00376FB3" w:rsidP="00E42E36">
            <w:pPr>
              <w:keepNext/>
              <w:spacing w:before="0" w:after="0"/>
              <w:jc w:val="left"/>
            </w:pPr>
            <w:r>
              <w:t>95 dB(A)</w:t>
            </w:r>
          </w:p>
        </w:tc>
      </w:tr>
      <w:tr w:rsidR="00376FB3" w:rsidTr="00E42E36">
        <w:trPr>
          <w:trHeight w:val="397"/>
        </w:trPr>
        <w:tc>
          <w:tcPr>
            <w:tcW w:w="2660" w:type="dxa"/>
          </w:tcPr>
          <w:p w:rsidR="00376FB3" w:rsidRPr="00376FB3" w:rsidRDefault="00376FB3" w:rsidP="00197243">
            <w:pPr>
              <w:spacing w:before="0" w:after="0"/>
              <w:jc w:val="left"/>
              <w:rPr>
                <w:i/>
              </w:rPr>
            </w:pPr>
            <w:r w:rsidRPr="00376FB3">
              <w:rPr>
                <w:i/>
              </w:rPr>
              <w:t>Rozměry d x š x h</w:t>
            </w:r>
          </w:p>
        </w:tc>
        <w:tc>
          <w:tcPr>
            <w:tcW w:w="6520" w:type="dxa"/>
          </w:tcPr>
          <w:p w:rsidR="00376FB3" w:rsidRPr="001B0750" w:rsidRDefault="00376FB3" w:rsidP="00197243">
            <w:pPr>
              <w:spacing w:before="0" w:after="0"/>
              <w:jc w:val="left"/>
            </w:pPr>
            <w:r>
              <w:t>8330 x 2200 x 2450 mm</w:t>
            </w:r>
          </w:p>
        </w:tc>
      </w:tr>
    </w:tbl>
    <w:p w:rsidR="0089663D" w:rsidRPr="008805C7" w:rsidRDefault="0089663D" w:rsidP="0089663D">
      <w:pPr>
        <w:rPr>
          <w:sz w:val="4"/>
          <w:szCs w:val="4"/>
        </w:r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89663D" w:rsidTr="0089663D">
        <w:tc>
          <w:tcPr>
            <w:tcW w:w="9212" w:type="dxa"/>
          </w:tcPr>
          <w:p w:rsidR="0089663D" w:rsidRDefault="0089663D" w:rsidP="0089663D">
            <w:pPr>
              <w:keepNext/>
              <w:jc w:val="center"/>
            </w:pPr>
            <w:r>
              <w:rPr>
                <w:noProof/>
                <w:lang w:eastAsia="cs-CZ"/>
              </w:rPr>
              <w:drawing>
                <wp:inline distT="0" distB="0" distL="0" distR="0" wp14:anchorId="7F679AA4" wp14:editId="44A472F9">
                  <wp:extent cx="4749798" cy="356235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DROJ_CHLADU_1_5P4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89765" cy="3592326"/>
                          </a:xfrm>
                          <a:prstGeom prst="rect">
                            <a:avLst/>
                          </a:prstGeom>
                        </pic:spPr>
                      </pic:pic>
                    </a:graphicData>
                  </a:graphic>
                </wp:inline>
              </w:drawing>
            </w:r>
          </w:p>
        </w:tc>
      </w:tr>
      <w:tr w:rsidR="0089663D" w:rsidTr="0089663D">
        <w:tc>
          <w:tcPr>
            <w:tcW w:w="9212" w:type="dxa"/>
          </w:tcPr>
          <w:p w:rsidR="0089663D" w:rsidRDefault="0089663D" w:rsidP="008805C7">
            <w:pPr>
              <w:pStyle w:val="Obrzek"/>
              <w:keepNext w:val="0"/>
            </w:pPr>
            <w:bookmarkStart w:id="24" w:name="_Ref56064131"/>
            <w:r>
              <w:t xml:space="preserve">Obr. </w:t>
            </w:r>
            <w:fldSimple w:instr=" SEQ Obr. \* ARABIC ">
              <w:r w:rsidR="00816426">
                <w:rPr>
                  <w:noProof/>
                </w:rPr>
                <w:t>2</w:t>
              </w:r>
            </w:fldSimple>
            <w:bookmarkEnd w:id="24"/>
            <w:r>
              <w:t xml:space="preserve"> Jednotky AERMEC NRB 2600 umístěné v prostoru 5P411 (foto Bres spol s r. o.)</w:t>
            </w:r>
          </w:p>
        </w:tc>
      </w:tr>
    </w:tbl>
    <w:p w:rsidR="00F0487B" w:rsidRDefault="00F0487B" w:rsidP="00F0487B">
      <w:pPr>
        <w:pStyle w:val="Nadpis3"/>
      </w:pPr>
      <w:bookmarkStart w:id="25" w:name="_Toc58949341"/>
      <w:r>
        <w:t>Zdroj chladu CH2 – celoroční chlazení (výchozí stav)</w:t>
      </w:r>
      <w:bookmarkEnd w:id="25"/>
    </w:p>
    <w:p w:rsidR="00477A65" w:rsidRDefault="00477A65" w:rsidP="00477A65">
      <w:bookmarkStart w:id="26" w:name="_Ref56427349"/>
      <w:r>
        <w:t xml:space="preserve">Zdroj chladu CH2 zastupují blokové chladicí jednotky 3, 4 (dále „BCHJ 3, 4“) a dvě jednotky volného chlazení (free-cooling, dále FC1, FC2). Parametry BCHJ 3, 4 – AERMEC NRB1400 uvádí </w:t>
      </w:r>
      <w:r>
        <w:fldChar w:fldCharType="begin"/>
      </w:r>
      <w:r>
        <w:instrText xml:space="preserve"> REF _Ref56803927 \h </w:instrText>
      </w:r>
      <w:r>
        <w:fldChar w:fldCharType="separate"/>
      </w:r>
      <w:r w:rsidR="00816426">
        <w:t xml:space="preserve">Tab. </w:t>
      </w:r>
      <w:r w:rsidR="00816426">
        <w:rPr>
          <w:noProof/>
        </w:rPr>
        <w:t>2</w:t>
      </w:r>
      <w:r>
        <w:fldChar w:fldCharType="end"/>
      </w:r>
      <w:r>
        <w:t xml:space="preserve">, </w:t>
      </w:r>
      <w:r w:rsidRPr="00E37677">
        <w:t>foto viz</w:t>
      </w:r>
      <w:r w:rsidR="00BB4DD8">
        <w:t xml:space="preserve"> </w:t>
      </w:r>
      <w:r w:rsidR="00BB4DD8">
        <w:fldChar w:fldCharType="begin"/>
      </w:r>
      <w:r w:rsidR="00BB4DD8">
        <w:instrText xml:space="preserve"> REF _Ref56064033 \h </w:instrText>
      </w:r>
      <w:r w:rsidR="00BB4DD8">
        <w:fldChar w:fldCharType="separate"/>
      </w:r>
      <w:r w:rsidR="00816426">
        <w:t xml:space="preserve">Obr. </w:t>
      </w:r>
      <w:r w:rsidR="00816426">
        <w:rPr>
          <w:noProof/>
        </w:rPr>
        <w:t>3</w:t>
      </w:r>
      <w:r w:rsidR="00BB4DD8">
        <w:fldChar w:fldCharType="end"/>
      </w:r>
      <w:r>
        <w:t xml:space="preserve">. Parametry FC1, FC2 – CABERO GCHD089A2x3-4,4-40-S D H (ZA) pak jsou patrné z </w:t>
      </w:r>
      <w:r>
        <w:fldChar w:fldCharType="begin"/>
      </w:r>
      <w:r>
        <w:instrText xml:space="preserve"> REF _Ref57652863 \h </w:instrText>
      </w:r>
      <w:r>
        <w:fldChar w:fldCharType="separate"/>
      </w:r>
      <w:r w:rsidR="00816426">
        <w:t xml:space="preserve">Tab. </w:t>
      </w:r>
      <w:r w:rsidR="00816426">
        <w:rPr>
          <w:noProof/>
        </w:rPr>
        <w:t>3</w:t>
      </w:r>
      <w:r>
        <w:fldChar w:fldCharType="end"/>
      </w:r>
      <w:r>
        <w:t xml:space="preserve">, </w:t>
      </w:r>
      <w:r w:rsidRPr="00E37677">
        <w:t xml:space="preserve">foto viz </w:t>
      </w:r>
      <w:r w:rsidRPr="00E37677">
        <w:fldChar w:fldCharType="begin"/>
      </w:r>
      <w:r w:rsidRPr="00E37677">
        <w:instrText xml:space="preserve"> REF _Ref56064076 \h </w:instrText>
      </w:r>
      <w:r>
        <w:instrText xml:space="preserve"> \* MERGEFORMAT </w:instrText>
      </w:r>
      <w:r w:rsidRPr="00E37677">
        <w:fldChar w:fldCharType="separate"/>
      </w:r>
      <w:r w:rsidR="00816426">
        <w:t xml:space="preserve">Obr. </w:t>
      </w:r>
      <w:r w:rsidR="00816426">
        <w:rPr>
          <w:noProof/>
        </w:rPr>
        <w:t>4</w:t>
      </w:r>
      <w:r w:rsidRPr="00E37677">
        <w:fldChar w:fldCharType="end"/>
      </w:r>
      <w:r>
        <w:t>. Blokové chladicí jednotky a jednotky volného chlazení se nacházejí v 5. NP v prostoru 5P340. Strojovna pro zdroj chladu CH2 se nachází v místnosti 5P410.</w:t>
      </w:r>
    </w:p>
    <w:p w:rsidR="00477A65" w:rsidRDefault="00477A65" w:rsidP="00477A65">
      <w:pPr>
        <w:pStyle w:val="Tabulka"/>
      </w:pPr>
      <w:bookmarkStart w:id="27" w:name="_Ref56803927"/>
      <w:r>
        <w:t xml:space="preserve">Tab. </w:t>
      </w:r>
      <w:fldSimple w:instr=" SEQ Tab. \* ARABIC ">
        <w:r w:rsidR="00816426">
          <w:rPr>
            <w:noProof/>
          </w:rPr>
          <w:t>2</w:t>
        </w:r>
      </w:fldSimple>
      <w:bookmarkEnd w:id="27"/>
      <w:r>
        <w:t xml:space="preserve"> Parametry stávající BCHJ 3, 4 – AERMEC NRB 1400 A</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520"/>
      </w:tblGrid>
      <w:tr w:rsidR="00477A65" w:rsidTr="00BB4DD8">
        <w:trPr>
          <w:trHeight w:val="624"/>
        </w:trPr>
        <w:tc>
          <w:tcPr>
            <w:tcW w:w="2660" w:type="dxa"/>
            <w:vAlign w:val="center"/>
          </w:tcPr>
          <w:p w:rsidR="00477A65" w:rsidRPr="00376FB3" w:rsidRDefault="00477A65" w:rsidP="00BB4DD8">
            <w:pPr>
              <w:keepNext/>
              <w:spacing w:before="0" w:after="0"/>
              <w:jc w:val="left"/>
              <w:rPr>
                <w:i/>
              </w:rPr>
            </w:pPr>
            <w:r w:rsidRPr="00376FB3">
              <w:rPr>
                <w:i/>
              </w:rPr>
              <w:t xml:space="preserve">Chladící výkon </w:t>
            </w:r>
          </w:p>
        </w:tc>
        <w:tc>
          <w:tcPr>
            <w:tcW w:w="6520" w:type="dxa"/>
            <w:vAlign w:val="center"/>
          </w:tcPr>
          <w:p w:rsidR="00477A65" w:rsidRDefault="00477A65" w:rsidP="00BB4DD8">
            <w:pPr>
              <w:keepNext/>
              <w:spacing w:before="0" w:after="0"/>
              <w:jc w:val="left"/>
            </w:pPr>
            <w:r>
              <w:t>404,0 kW (při parametrech chlazené vody 7/12 °C a venkovní teplotě 35 °C)</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Elektrický příkon</w:t>
            </w:r>
          </w:p>
        </w:tc>
        <w:tc>
          <w:tcPr>
            <w:tcW w:w="6520" w:type="dxa"/>
          </w:tcPr>
          <w:p w:rsidR="00477A65" w:rsidRPr="001B0750" w:rsidRDefault="00477A65" w:rsidP="00BB4DD8">
            <w:pPr>
              <w:keepNext/>
              <w:spacing w:before="0" w:after="0"/>
              <w:jc w:val="left"/>
            </w:pPr>
            <w:r>
              <w:t>135 kW</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EER</w:t>
            </w:r>
          </w:p>
        </w:tc>
        <w:tc>
          <w:tcPr>
            <w:tcW w:w="6520" w:type="dxa"/>
          </w:tcPr>
          <w:p w:rsidR="00477A65" w:rsidRPr="001B0750" w:rsidRDefault="00477A65" w:rsidP="00BB4DD8">
            <w:pPr>
              <w:keepNext/>
              <w:spacing w:before="0" w:after="0"/>
              <w:jc w:val="left"/>
            </w:pPr>
            <w:r>
              <w:t>2,98</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ESEER</w:t>
            </w:r>
          </w:p>
        </w:tc>
        <w:tc>
          <w:tcPr>
            <w:tcW w:w="6520" w:type="dxa"/>
          </w:tcPr>
          <w:p w:rsidR="00477A65" w:rsidRPr="001B0750" w:rsidRDefault="00477A65" w:rsidP="00BB4DD8">
            <w:pPr>
              <w:keepNext/>
              <w:spacing w:before="0" w:after="0"/>
              <w:jc w:val="left"/>
            </w:pPr>
            <w:r>
              <w:t>4,12</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Chladivo</w:t>
            </w:r>
          </w:p>
        </w:tc>
        <w:tc>
          <w:tcPr>
            <w:tcW w:w="6520" w:type="dxa"/>
          </w:tcPr>
          <w:p w:rsidR="00477A65" w:rsidRDefault="00477A65" w:rsidP="00BB4DD8">
            <w:pPr>
              <w:keepNext/>
              <w:spacing w:before="0" w:after="0"/>
              <w:jc w:val="left"/>
            </w:pPr>
            <w:r>
              <w:t>R410a</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Čistá hmotnost</w:t>
            </w:r>
          </w:p>
        </w:tc>
        <w:tc>
          <w:tcPr>
            <w:tcW w:w="6520" w:type="dxa"/>
          </w:tcPr>
          <w:p w:rsidR="00477A65" w:rsidRPr="00C94A81" w:rsidRDefault="00477A65" w:rsidP="00BB4DD8">
            <w:pPr>
              <w:keepNext/>
              <w:spacing w:before="0" w:after="0"/>
              <w:jc w:val="left"/>
            </w:pPr>
            <w:r w:rsidRPr="00C94A81">
              <w:t>2950 kg</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Akustický výkon</w:t>
            </w:r>
          </w:p>
        </w:tc>
        <w:tc>
          <w:tcPr>
            <w:tcW w:w="6520" w:type="dxa"/>
          </w:tcPr>
          <w:p w:rsidR="00477A65" w:rsidRDefault="00477A65" w:rsidP="00BB4DD8">
            <w:pPr>
              <w:keepNext/>
              <w:spacing w:before="0" w:after="0"/>
              <w:jc w:val="left"/>
            </w:pPr>
            <w:r>
              <w:t>91 dB(A)</w:t>
            </w:r>
          </w:p>
        </w:tc>
      </w:tr>
      <w:tr w:rsidR="00477A65" w:rsidTr="00BB4DD8">
        <w:trPr>
          <w:trHeight w:val="397"/>
        </w:trPr>
        <w:tc>
          <w:tcPr>
            <w:tcW w:w="2660" w:type="dxa"/>
          </w:tcPr>
          <w:p w:rsidR="00477A65" w:rsidRPr="00376FB3" w:rsidRDefault="00477A65" w:rsidP="00BB4DD8">
            <w:pPr>
              <w:spacing w:before="0" w:after="0"/>
              <w:jc w:val="left"/>
              <w:rPr>
                <w:i/>
              </w:rPr>
            </w:pPr>
            <w:r w:rsidRPr="00376FB3">
              <w:rPr>
                <w:i/>
              </w:rPr>
              <w:t>Rozměry d x š x h</w:t>
            </w:r>
          </w:p>
        </w:tc>
        <w:tc>
          <w:tcPr>
            <w:tcW w:w="6520" w:type="dxa"/>
          </w:tcPr>
          <w:p w:rsidR="00477A65" w:rsidRPr="001B0750" w:rsidRDefault="00477A65" w:rsidP="00BB4DD8">
            <w:pPr>
              <w:spacing w:before="0" w:after="0"/>
              <w:jc w:val="left"/>
            </w:pPr>
            <w:r>
              <w:t>3970 x 2200 x 2450 mm</w:t>
            </w:r>
          </w:p>
        </w:tc>
      </w:tr>
    </w:tbl>
    <w:p w:rsidR="00477A65" w:rsidRDefault="00477A65" w:rsidP="00477A65">
      <w:bookmarkStart w:id="28" w:name="_Ref55214180"/>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477A65" w:rsidTr="00BB4DD8">
        <w:tc>
          <w:tcPr>
            <w:tcW w:w="9212" w:type="dxa"/>
          </w:tcPr>
          <w:p w:rsidR="00477A65" w:rsidRDefault="00477A65" w:rsidP="00BB4DD8">
            <w:pPr>
              <w:keepNext/>
              <w:jc w:val="center"/>
            </w:pPr>
            <w:r>
              <w:rPr>
                <w:noProof/>
                <w:lang w:eastAsia="cs-CZ"/>
              </w:rPr>
              <w:drawing>
                <wp:inline distT="0" distB="0" distL="0" distR="0" wp14:anchorId="73DB9BC9" wp14:editId="4AF46C59">
                  <wp:extent cx="4442984" cy="365760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ZDROJ_CHLADU_2_BCHJ_5P340.jpg"/>
                          <pic:cNvPicPr/>
                        </pic:nvPicPr>
                        <pic:blipFill rotWithShape="1">
                          <a:blip r:embed="rId20" cstate="print">
                            <a:extLst>
                              <a:ext uri="{28A0092B-C50C-407E-A947-70E740481C1C}">
                                <a14:useLocalDpi xmlns:a14="http://schemas.microsoft.com/office/drawing/2010/main" val="0"/>
                              </a:ext>
                            </a:extLst>
                          </a:blip>
                          <a:srcRect r="8895"/>
                          <a:stretch/>
                        </pic:blipFill>
                        <pic:spPr bwMode="auto">
                          <a:xfrm>
                            <a:off x="0" y="0"/>
                            <a:ext cx="4453288" cy="3666083"/>
                          </a:xfrm>
                          <a:prstGeom prst="rect">
                            <a:avLst/>
                          </a:prstGeom>
                          <a:ln>
                            <a:noFill/>
                          </a:ln>
                          <a:extLst>
                            <a:ext uri="{53640926-AAD7-44D8-BBD7-CCE9431645EC}">
                              <a14:shadowObscured xmlns:a14="http://schemas.microsoft.com/office/drawing/2010/main"/>
                            </a:ext>
                          </a:extLst>
                        </pic:spPr>
                      </pic:pic>
                    </a:graphicData>
                  </a:graphic>
                </wp:inline>
              </w:drawing>
            </w:r>
          </w:p>
        </w:tc>
      </w:tr>
      <w:tr w:rsidR="00477A65" w:rsidTr="00BB4DD8">
        <w:tc>
          <w:tcPr>
            <w:tcW w:w="9212" w:type="dxa"/>
          </w:tcPr>
          <w:p w:rsidR="00477A65" w:rsidRDefault="00477A65" w:rsidP="00BB4DD8">
            <w:pPr>
              <w:pStyle w:val="Obrzek"/>
              <w:keepNext w:val="0"/>
            </w:pPr>
            <w:bookmarkStart w:id="29" w:name="_Ref56064033"/>
            <w:r>
              <w:t xml:space="preserve">Obr. </w:t>
            </w:r>
            <w:fldSimple w:instr=" SEQ Obr. \* ARABIC ">
              <w:r w:rsidR="00816426">
                <w:rPr>
                  <w:noProof/>
                </w:rPr>
                <w:t>3</w:t>
              </w:r>
            </w:fldSimple>
            <w:bookmarkEnd w:id="29"/>
            <w:r>
              <w:t xml:space="preserve"> Jednotka AERMEC NRB1400 včetně volného prostoru pro možné umístění další chladicí jednotky v prostoru 5P340 (foto Bres spol. s r. o.)</w:t>
            </w:r>
          </w:p>
        </w:tc>
      </w:tr>
    </w:tbl>
    <w:p w:rsidR="00477A65" w:rsidRDefault="00477A65" w:rsidP="00477A65">
      <w:pPr>
        <w:pStyle w:val="Tabulka"/>
      </w:pPr>
      <w:bookmarkStart w:id="30" w:name="_Ref57652863"/>
      <w:bookmarkEnd w:id="28"/>
      <w:r>
        <w:t xml:space="preserve">Tab. </w:t>
      </w:r>
      <w:fldSimple w:instr=" SEQ Tab. \* ARABIC ">
        <w:r w:rsidR="00816426">
          <w:rPr>
            <w:noProof/>
          </w:rPr>
          <w:t>3</w:t>
        </w:r>
      </w:fldSimple>
      <w:bookmarkEnd w:id="30"/>
      <w:r>
        <w:t xml:space="preserve"> Parametry stávající FC 1, 2 - CABERO GCHD089A2x3-4,4-40-S D H (ZA)</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520"/>
      </w:tblGrid>
      <w:tr w:rsidR="00477A65" w:rsidTr="00BB4DD8">
        <w:trPr>
          <w:trHeight w:val="624"/>
        </w:trPr>
        <w:tc>
          <w:tcPr>
            <w:tcW w:w="2660" w:type="dxa"/>
            <w:vAlign w:val="center"/>
          </w:tcPr>
          <w:p w:rsidR="00477A65" w:rsidRPr="00376FB3" w:rsidRDefault="00477A65" w:rsidP="00BB4DD8">
            <w:pPr>
              <w:keepNext/>
              <w:spacing w:before="0" w:after="0"/>
              <w:jc w:val="left"/>
              <w:rPr>
                <w:i/>
              </w:rPr>
            </w:pPr>
            <w:r w:rsidRPr="00376FB3">
              <w:rPr>
                <w:i/>
              </w:rPr>
              <w:t xml:space="preserve">Chladící výkon </w:t>
            </w:r>
          </w:p>
        </w:tc>
        <w:tc>
          <w:tcPr>
            <w:tcW w:w="6520" w:type="dxa"/>
            <w:vAlign w:val="center"/>
          </w:tcPr>
          <w:p w:rsidR="00477A65" w:rsidRDefault="00477A65" w:rsidP="00BB4DD8">
            <w:pPr>
              <w:keepNext/>
              <w:spacing w:before="0" w:after="0"/>
              <w:jc w:val="left"/>
            </w:pPr>
            <w:r>
              <w:t xml:space="preserve">155,0 kW (při parametrech chlazené vody 8/14 °C a </w:t>
            </w:r>
            <w:r w:rsidRPr="001E3F10">
              <w:rPr>
                <w:b/>
              </w:rPr>
              <w:t>venkovní teplotě 3 °C</w:t>
            </w:r>
            <w:r w:rsidRPr="001E3F10">
              <w:t>)</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Elektrický příkon</w:t>
            </w:r>
          </w:p>
        </w:tc>
        <w:tc>
          <w:tcPr>
            <w:tcW w:w="6520" w:type="dxa"/>
          </w:tcPr>
          <w:p w:rsidR="00477A65" w:rsidRPr="001B0750" w:rsidRDefault="00477A65" w:rsidP="00BB4DD8">
            <w:pPr>
              <w:keepNext/>
              <w:spacing w:before="0" w:after="0"/>
              <w:jc w:val="left"/>
            </w:pPr>
            <w:r>
              <w:t>5,58 kW</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Čistá hmotnost</w:t>
            </w:r>
          </w:p>
        </w:tc>
        <w:tc>
          <w:tcPr>
            <w:tcW w:w="6520" w:type="dxa"/>
          </w:tcPr>
          <w:p w:rsidR="00477A65" w:rsidRPr="00C94A81" w:rsidRDefault="00477A65" w:rsidP="00BB4DD8">
            <w:pPr>
              <w:keepNext/>
              <w:spacing w:before="0" w:after="0"/>
              <w:jc w:val="left"/>
            </w:pPr>
            <w:r w:rsidRPr="00C94A81">
              <w:t>1571 kg</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Akustický výkon</w:t>
            </w:r>
          </w:p>
        </w:tc>
        <w:tc>
          <w:tcPr>
            <w:tcW w:w="6520" w:type="dxa"/>
          </w:tcPr>
          <w:p w:rsidR="00477A65" w:rsidRDefault="00477A65" w:rsidP="00BB4DD8">
            <w:pPr>
              <w:keepNext/>
              <w:spacing w:before="0" w:after="0"/>
              <w:jc w:val="left"/>
            </w:pPr>
            <w:r>
              <w:t>80,8 dB(A)</w:t>
            </w:r>
          </w:p>
        </w:tc>
      </w:tr>
      <w:tr w:rsidR="00477A65" w:rsidTr="00BB4DD8">
        <w:trPr>
          <w:trHeight w:val="397"/>
        </w:trPr>
        <w:tc>
          <w:tcPr>
            <w:tcW w:w="2660" w:type="dxa"/>
          </w:tcPr>
          <w:p w:rsidR="00477A65" w:rsidRPr="00376FB3" w:rsidRDefault="00477A65" w:rsidP="00BB4DD8">
            <w:pPr>
              <w:keepNext/>
              <w:spacing w:before="0" w:after="0"/>
              <w:jc w:val="left"/>
              <w:rPr>
                <w:i/>
              </w:rPr>
            </w:pPr>
            <w:r w:rsidRPr="00376FB3">
              <w:rPr>
                <w:i/>
              </w:rPr>
              <w:t>Rozměry d x š x h</w:t>
            </w:r>
          </w:p>
        </w:tc>
        <w:tc>
          <w:tcPr>
            <w:tcW w:w="6520" w:type="dxa"/>
          </w:tcPr>
          <w:p w:rsidR="00477A65" w:rsidRPr="001B0750" w:rsidRDefault="00477A65" w:rsidP="00BB4DD8">
            <w:pPr>
              <w:keepNext/>
              <w:spacing w:before="0" w:after="0"/>
              <w:jc w:val="left"/>
            </w:pPr>
            <w:r>
              <w:t>4700 x 1180 x 2360 mm</w:t>
            </w:r>
          </w:p>
        </w:tc>
      </w:tr>
    </w:tbl>
    <w:p w:rsidR="00477A65" w:rsidRDefault="00477A65" w:rsidP="00477A65"/>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477A65" w:rsidTr="00BB4DD8">
        <w:tc>
          <w:tcPr>
            <w:tcW w:w="9212" w:type="dxa"/>
          </w:tcPr>
          <w:p w:rsidR="00477A65" w:rsidRDefault="00477A65" w:rsidP="00BB4DD8">
            <w:pPr>
              <w:keepNext/>
            </w:pPr>
            <w:r>
              <w:rPr>
                <w:noProof/>
                <w:lang w:eastAsia="cs-CZ"/>
              </w:rPr>
              <w:drawing>
                <wp:inline distT="0" distB="0" distL="0" distR="0" wp14:anchorId="1DED75C4" wp14:editId="39CB951A">
                  <wp:extent cx="5760720" cy="339090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ZDROJ_CHLADU_2_FC_5P340.jpg"/>
                          <pic:cNvPicPr/>
                        </pic:nvPicPr>
                        <pic:blipFill rotWithShape="1">
                          <a:blip r:embed="rId21" cstate="print">
                            <a:extLst>
                              <a:ext uri="{28A0092B-C50C-407E-A947-70E740481C1C}">
                                <a14:useLocalDpi xmlns:a14="http://schemas.microsoft.com/office/drawing/2010/main" val="0"/>
                              </a:ext>
                            </a:extLst>
                          </a:blip>
                          <a:srcRect t="8598" b="12919"/>
                          <a:stretch/>
                        </pic:blipFill>
                        <pic:spPr bwMode="auto">
                          <a:xfrm>
                            <a:off x="0" y="0"/>
                            <a:ext cx="5760720" cy="3390900"/>
                          </a:xfrm>
                          <a:prstGeom prst="rect">
                            <a:avLst/>
                          </a:prstGeom>
                          <a:ln>
                            <a:noFill/>
                          </a:ln>
                          <a:extLst>
                            <a:ext uri="{53640926-AAD7-44D8-BBD7-CCE9431645EC}">
                              <a14:shadowObscured xmlns:a14="http://schemas.microsoft.com/office/drawing/2010/main"/>
                            </a:ext>
                          </a:extLst>
                        </pic:spPr>
                      </pic:pic>
                    </a:graphicData>
                  </a:graphic>
                </wp:inline>
              </w:drawing>
            </w:r>
          </w:p>
        </w:tc>
      </w:tr>
      <w:tr w:rsidR="00477A65" w:rsidTr="00BB4DD8">
        <w:tc>
          <w:tcPr>
            <w:tcW w:w="9212" w:type="dxa"/>
          </w:tcPr>
          <w:p w:rsidR="00477A65" w:rsidRDefault="00477A65" w:rsidP="00BB4DD8">
            <w:pPr>
              <w:pStyle w:val="Obrzek"/>
            </w:pPr>
            <w:bookmarkStart w:id="31" w:name="_Ref56064076"/>
            <w:r>
              <w:t xml:space="preserve">Obr. </w:t>
            </w:r>
            <w:fldSimple w:instr=" SEQ Obr. \* ARABIC ">
              <w:r w:rsidR="00816426">
                <w:rPr>
                  <w:noProof/>
                </w:rPr>
                <w:t>4</w:t>
              </w:r>
            </w:fldSimple>
            <w:bookmarkEnd w:id="31"/>
            <w:r>
              <w:t xml:space="preserve"> Jednotka volného chlazení CABERO v prostoru 5P340 (foto Bres spol. s r. o.)</w:t>
            </w:r>
          </w:p>
        </w:tc>
      </w:tr>
    </w:tbl>
    <w:p w:rsidR="00477A65" w:rsidRDefault="00477A65" w:rsidP="00477A65">
      <w:r>
        <w:t xml:space="preserve">Pro zvýšení spolehlivosti dodávky chladu technologického systému chlazení (CH2) a optimalizaci chodu sezónního zdroje (CH1) byla mezi strojovnami CH1 a CH2 zhotovena </w:t>
      </w:r>
      <w:r w:rsidR="00DE354B">
        <w:t xml:space="preserve">obousměrná </w:t>
      </w:r>
      <w:r>
        <w:t xml:space="preserve">potrubní propojka na vodní straně (chlazená voda). Požadovaný přenášený výkon propojkou je 400 kW. </w:t>
      </w:r>
      <w:r w:rsidR="009615EC">
        <w:t>Přes protiproudý deskový výměník voda/glykol</w:t>
      </w:r>
      <w:r w:rsidR="009615EC">
        <w:rPr>
          <w:rStyle w:val="Znakapoznpodarou"/>
        </w:rPr>
        <w:footnoteReference w:id="1"/>
      </w:r>
      <w:r w:rsidR="009615EC">
        <w:t xml:space="preserve"> se využívá obousměrná glykolová propojka s přenášeným výkonem do 120 kW.</w:t>
      </w:r>
    </w:p>
    <w:p w:rsidR="00FC483E" w:rsidRDefault="00FC483E" w:rsidP="00FC483E">
      <w:pPr>
        <w:pStyle w:val="Nadpis3"/>
      </w:pPr>
      <w:bookmarkStart w:id="32" w:name="_Toc58949342"/>
      <w:r>
        <w:t>Výkonové rezervy jednotlivých zdrojů chladu</w:t>
      </w:r>
      <w:bookmarkEnd w:id="26"/>
      <w:bookmarkEnd w:id="32"/>
    </w:p>
    <w:p w:rsidR="00FC483E" w:rsidRDefault="00FC483E" w:rsidP="00FC483E">
      <w:r>
        <w:t>Stávající zdroje chladu 1, 2 mají dle provozovatele jisté výkonové rezervy. Tyto rezervy stanovené provozovatelem jsou při plném zatížení (letní období) přehledně uvedeny v</w:t>
      </w:r>
      <w:r w:rsidR="0047227F">
        <w:t> </w:t>
      </w:r>
      <w:r w:rsidR="0047227F">
        <w:fldChar w:fldCharType="begin"/>
      </w:r>
      <w:r w:rsidR="0047227F">
        <w:instrText xml:space="preserve"> REF _Ref56426824 \h </w:instrText>
      </w:r>
      <w:r w:rsidR="0047227F">
        <w:fldChar w:fldCharType="separate"/>
      </w:r>
      <w:r w:rsidR="00816426">
        <w:t xml:space="preserve">Tab. </w:t>
      </w:r>
      <w:r w:rsidR="00816426">
        <w:rPr>
          <w:noProof/>
        </w:rPr>
        <w:t>4</w:t>
      </w:r>
      <w:r w:rsidR="0047227F">
        <w:fldChar w:fldCharType="end"/>
      </w:r>
      <w:r>
        <w:t>.</w:t>
      </w:r>
    </w:p>
    <w:p w:rsidR="0047227F" w:rsidRDefault="0047227F" w:rsidP="0047227F">
      <w:pPr>
        <w:pStyle w:val="Tabulka"/>
      </w:pPr>
      <w:bookmarkStart w:id="33" w:name="_Ref56426824"/>
      <w:r>
        <w:t xml:space="preserve">Tab. </w:t>
      </w:r>
      <w:fldSimple w:instr=" SEQ Tab. \* ARABIC ">
        <w:r w:rsidR="00816426">
          <w:rPr>
            <w:noProof/>
          </w:rPr>
          <w:t>4</w:t>
        </w:r>
      </w:fldSimple>
      <w:bookmarkEnd w:id="33"/>
      <w:r>
        <w:t xml:space="preserve"> Výkonové rezervy stávajících zdrojů chladu 1, 2</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1417"/>
        <w:gridCol w:w="4077"/>
      </w:tblGrid>
      <w:tr w:rsidR="00F504EC" w:rsidTr="009615EC">
        <w:tc>
          <w:tcPr>
            <w:tcW w:w="9288" w:type="dxa"/>
            <w:gridSpan w:val="3"/>
            <w:tcBorders>
              <w:bottom w:val="nil"/>
            </w:tcBorders>
          </w:tcPr>
          <w:p w:rsidR="00F504EC" w:rsidRDefault="00F504EC" w:rsidP="0047227F">
            <w:pPr>
              <w:keepNext/>
            </w:pPr>
            <w:r>
              <w:t>Zdroj chladu 1 – letní období – chladicí výkon 2× 750 kW (1500 kW)</w:t>
            </w:r>
          </w:p>
        </w:tc>
      </w:tr>
      <w:tr w:rsidR="00F504EC" w:rsidTr="0085058D">
        <w:tc>
          <w:tcPr>
            <w:tcW w:w="3794" w:type="dxa"/>
            <w:tcBorders>
              <w:top w:val="nil"/>
              <w:bottom w:val="single" w:sz="4" w:space="0" w:color="auto"/>
            </w:tcBorders>
          </w:tcPr>
          <w:p w:rsidR="00F504EC" w:rsidRDefault="00F504EC" w:rsidP="0047227F">
            <w:pPr>
              <w:keepNext/>
            </w:pPr>
          </w:p>
        </w:tc>
        <w:tc>
          <w:tcPr>
            <w:tcW w:w="1417" w:type="dxa"/>
            <w:tcBorders>
              <w:top w:val="nil"/>
              <w:bottom w:val="single" w:sz="4" w:space="0" w:color="auto"/>
            </w:tcBorders>
            <w:vAlign w:val="center"/>
          </w:tcPr>
          <w:p w:rsidR="00F504EC" w:rsidRPr="00F504EC" w:rsidRDefault="00F504EC" w:rsidP="0085058D">
            <w:pPr>
              <w:keepNext/>
              <w:jc w:val="center"/>
              <w:rPr>
                <w:lang w:val="en-US"/>
              </w:rPr>
            </w:pPr>
            <w:r>
              <w:t xml:space="preserve">Rezervní množství chladu </w:t>
            </w:r>
            <w:r>
              <w:rPr>
                <w:lang w:val="en-US"/>
              </w:rPr>
              <w:t>[kW]</w:t>
            </w:r>
          </w:p>
        </w:tc>
        <w:tc>
          <w:tcPr>
            <w:tcW w:w="4077" w:type="dxa"/>
            <w:tcBorders>
              <w:top w:val="nil"/>
              <w:bottom w:val="single" w:sz="4" w:space="0" w:color="auto"/>
            </w:tcBorders>
            <w:vAlign w:val="center"/>
          </w:tcPr>
          <w:p w:rsidR="00F504EC" w:rsidRDefault="00F504EC" w:rsidP="0085058D">
            <w:pPr>
              <w:keepNext/>
              <w:jc w:val="center"/>
            </w:pPr>
            <w:r>
              <w:t>Současné využití</w:t>
            </w:r>
          </w:p>
        </w:tc>
      </w:tr>
      <w:tr w:rsidR="00F504EC" w:rsidTr="0085058D">
        <w:tc>
          <w:tcPr>
            <w:tcW w:w="3794" w:type="dxa"/>
            <w:tcBorders>
              <w:bottom w:val="single" w:sz="12" w:space="0" w:color="auto"/>
            </w:tcBorders>
            <w:vAlign w:val="center"/>
          </w:tcPr>
          <w:p w:rsidR="00F504EC" w:rsidRDefault="00F504EC" w:rsidP="0085058D">
            <w:pPr>
              <w:keepNext/>
              <w:jc w:val="left"/>
            </w:pPr>
            <w:r>
              <w:t>Volná kapacita zdroje chladu</w:t>
            </w:r>
          </w:p>
        </w:tc>
        <w:tc>
          <w:tcPr>
            <w:tcW w:w="1417" w:type="dxa"/>
            <w:tcBorders>
              <w:bottom w:val="single" w:sz="12" w:space="0" w:color="auto"/>
            </w:tcBorders>
            <w:vAlign w:val="center"/>
          </w:tcPr>
          <w:p w:rsidR="00F504EC" w:rsidRDefault="00F504EC" w:rsidP="0085058D">
            <w:pPr>
              <w:keepNext/>
              <w:jc w:val="center"/>
            </w:pPr>
            <w:r>
              <w:t>400</w:t>
            </w:r>
          </w:p>
        </w:tc>
        <w:tc>
          <w:tcPr>
            <w:tcW w:w="4077" w:type="dxa"/>
            <w:tcBorders>
              <w:bottom w:val="single" w:sz="12" w:space="0" w:color="auto"/>
            </w:tcBorders>
            <w:vAlign w:val="center"/>
          </w:tcPr>
          <w:p w:rsidR="00F504EC" w:rsidRDefault="00F504EC" w:rsidP="0085058D">
            <w:pPr>
              <w:keepNext/>
              <w:jc w:val="left"/>
            </w:pPr>
            <w:r>
              <w:t xml:space="preserve">Distribuce chladu </w:t>
            </w:r>
            <w:r w:rsidR="0085058D">
              <w:t xml:space="preserve">vodní a glykolovou </w:t>
            </w:r>
            <w:r>
              <w:t>propojkou do soustavy zdroje chladu 2</w:t>
            </w:r>
          </w:p>
        </w:tc>
      </w:tr>
      <w:tr w:rsidR="00F504EC" w:rsidTr="0085058D">
        <w:tc>
          <w:tcPr>
            <w:tcW w:w="9288" w:type="dxa"/>
            <w:gridSpan w:val="3"/>
            <w:tcBorders>
              <w:top w:val="single" w:sz="12" w:space="0" w:color="auto"/>
              <w:bottom w:val="nil"/>
            </w:tcBorders>
          </w:tcPr>
          <w:p w:rsidR="00F504EC" w:rsidRDefault="00F504EC" w:rsidP="0085058D">
            <w:pPr>
              <w:keepNext/>
            </w:pPr>
            <w:r>
              <w:t>Zdroj chladu 2 –</w:t>
            </w:r>
            <w:r w:rsidR="0085058D">
              <w:t xml:space="preserve"> celoroční</w:t>
            </w:r>
            <w:r>
              <w:t xml:space="preserve"> – chladicí výkon 2× 400 kW (800 kW) </w:t>
            </w:r>
          </w:p>
        </w:tc>
      </w:tr>
      <w:tr w:rsidR="00F504EC" w:rsidTr="0085058D">
        <w:tc>
          <w:tcPr>
            <w:tcW w:w="3794" w:type="dxa"/>
            <w:tcBorders>
              <w:top w:val="nil"/>
              <w:bottom w:val="single" w:sz="4" w:space="0" w:color="auto"/>
            </w:tcBorders>
          </w:tcPr>
          <w:p w:rsidR="00F504EC" w:rsidRDefault="00F504EC" w:rsidP="0047227F">
            <w:pPr>
              <w:keepNext/>
            </w:pPr>
          </w:p>
        </w:tc>
        <w:tc>
          <w:tcPr>
            <w:tcW w:w="1417" w:type="dxa"/>
            <w:tcBorders>
              <w:top w:val="nil"/>
              <w:bottom w:val="single" w:sz="4" w:space="0" w:color="auto"/>
            </w:tcBorders>
            <w:vAlign w:val="center"/>
          </w:tcPr>
          <w:p w:rsidR="00F504EC" w:rsidRPr="00F504EC" w:rsidRDefault="00F504EC" w:rsidP="0085058D">
            <w:pPr>
              <w:keepNext/>
              <w:jc w:val="center"/>
              <w:rPr>
                <w:lang w:val="en-US"/>
              </w:rPr>
            </w:pPr>
            <w:r>
              <w:t xml:space="preserve">Rezervní množství chladu </w:t>
            </w:r>
            <w:r>
              <w:rPr>
                <w:lang w:val="en-US"/>
              </w:rPr>
              <w:t>[kW]</w:t>
            </w:r>
          </w:p>
        </w:tc>
        <w:tc>
          <w:tcPr>
            <w:tcW w:w="4077" w:type="dxa"/>
            <w:tcBorders>
              <w:top w:val="nil"/>
              <w:bottom w:val="single" w:sz="4" w:space="0" w:color="auto"/>
            </w:tcBorders>
            <w:vAlign w:val="center"/>
          </w:tcPr>
          <w:p w:rsidR="00F504EC" w:rsidRDefault="00F504EC" w:rsidP="0085058D">
            <w:pPr>
              <w:keepNext/>
              <w:jc w:val="center"/>
            </w:pPr>
            <w:r>
              <w:t>Současné využití</w:t>
            </w:r>
          </w:p>
        </w:tc>
      </w:tr>
      <w:tr w:rsidR="0085058D" w:rsidTr="009217AA">
        <w:tc>
          <w:tcPr>
            <w:tcW w:w="3794" w:type="dxa"/>
            <w:tcBorders>
              <w:top w:val="single" w:sz="4" w:space="0" w:color="auto"/>
              <w:bottom w:val="nil"/>
            </w:tcBorders>
            <w:vAlign w:val="center"/>
          </w:tcPr>
          <w:p w:rsidR="0085058D" w:rsidRDefault="0085058D" w:rsidP="0085058D">
            <w:pPr>
              <w:keepNext/>
              <w:jc w:val="left"/>
            </w:pPr>
            <w:r>
              <w:t>Stoupací potrubí – křídlo 1.4 (Senovážná)</w:t>
            </w:r>
          </w:p>
        </w:tc>
        <w:tc>
          <w:tcPr>
            <w:tcW w:w="1417" w:type="dxa"/>
            <w:tcBorders>
              <w:top w:val="single" w:sz="4" w:space="0" w:color="auto"/>
              <w:bottom w:val="nil"/>
            </w:tcBorders>
            <w:vAlign w:val="center"/>
          </w:tcPr>
          <w:p w:rsidR="0085058D" w:rsidRDefault="0085058D" w:rsidP="0085058D">
            <w:pPr>
              <w:keepNext/>
              <w:jc w:val="center"/>
            </w:pPr>
            <w:r>
              <w:t>80</w:t>
            </w:r>
          </w:p>
        </w:tc>
        <w:tc>
          <w:tcPr>
            <w:tcW w:w="4077" w:type="dxa"/>
            <w:tcBorders>
              <w:top w:val="single" w:sz="4" w:space="0" w:color="auto"/>
              <w:bottom w:val="nil"/>
            </w:tcBorders>
            <w:vAlign w:val="center"/>
          </w:tcPr>
          <w:p w:rsidR="0085058D" w:rsidRDefault="0085058D" w:rsidP="0085058D">
            <w:pPr>
              <w:keepNext/>
              <w:jc w:val="left"/>
            </w:pPr>
            <w:r>
              <w:t>Nevyužito</w:t>
            </w:r>
          </w:p>
        </w:tc>
      </w:tr>
      <w:tr w:rsidR="00F504EC" w:rsidTr="0085058D">
        <w:tc>
          <w:tcPr>
            <w:tcW w:w="3794" w:type="dxa"/>
            <w:tcBorders>
              <w:top w:val="nil"/>
              <w:bottom w:val="single" w:sz="12" w:space="0" w:color="auto"/>
            </w:tcBorders>
            <w:vAlign w:val="center"/>
          </w:tcPr>
          <w:p w:rsidR="00F504EC" w:rsidRDefault="00F504EC" w:rsidP="0085058D">
            <w:pPr>
              <w:jc w:val="left"/>
            </w:pPr>
            <w:r>
              <w:t>Volná kapacita zdroje chladu</w:t>
            </w:r>
          </w:p>
        </w:tc>
        <w:tc>
          <w:tcPr>
            <w:tcW w:w="1417" w:type="dxa"/>
            <w:tcBorders>
              <w:top w:val="nil"/>
              <w:bottom w:val="single" w:sz="12" w:space="0" w:color="auto"/>
            </w:tcBorders>
            <w:vAlign w:val="center"/>
          </w:tcPr>
          <w:p w:rsidR="00F504EC" w:rsidRDefault="00F504EC" w:rsidP="0085058D">
            <w:pPr>
              <w:jc w:val="center"/>
            </w:pPr>
            <w:r>
              <w:t>400</w:t>
            </w:r>
          </w:p>
        </w:tc>
        <w:tc>
          <w:tcPr>
            <w:tcW w:w="4077" w:type="dxa"/>
            <w:tcBorders>
              <w:top w:val="nil"/>
              <w:bottom w:val="single" w:sz="12" w:space="0" w:color="auto"/>
            </w:tcBorders>
          </w:tcPr>
          <w:p w:rsidR="00F504EC" w:rsidRDefault="0085058D" w:rsidP="00B85E93">
            <w:r>
              <w:t>100% bezpečnostní záskok pro kritickou IT technologii, ta se bude provozovat pro dochlazení budovy a v případě potřeby se budova odepne</w:t>
            </w:r>
          </w:p>
        </w:tc>
      </w:tr>
    </w:tbl>
    <w:p w:rsidR="0047227F" w:rsidRDefault="0047227F" w:rsidP="0047227F">
      <w:r>
        <w:t xml:space="preserve">Z uvedené </w:t>
      </w:r>
      <w:r>
        <w:fldChar w:fldCharType="begin"/>
      </w:r>
      <w:r>
        <w:instrText xml:space="preserve"> REF _Ref56426824 \h </w:instrText>
      </w:r>
      <w:r>
        <w:fldChar w:fldCharType="separate"/>
      </w:r>
      <w:r w:rsidR="00816426">
        <w:t xml:space="preserve">Tab. </w:t>
      </w:r>
      <w:r w:rsidR="00816426">
        <w:rPr>
          <w:noProof/>
        </w:rPr>
        <w:t>4</w:t>
      </w:r>
      <w:r>
        <w:fldChar w:fldCharType="end"/>
      </w:r>
      <w:r>
        <w:t xml:space="preserve"> je zřejmé, že výkonové rezervy v rámci zdroje chladu 1</w:t>
      </w:r>
      <w:r w:rsidR="000E4BD0">
        <w:t xml:space="preserve"> a 2</w:t>
      </w:r>
      <w:r>
        <w:t xml:space="preserve"> je možné využít k dochlazení v současné době zatím nechlazených částí budovy. Další části budovy budou zásobeny chladem prostřednictvím nového zdroje chladu 3. </w:t>
      </w:r>
      <w:r w:rsidR="000E4BD0">
        <w:t>Umístění chilleru (zdroj chladu 3) je plánováno ve venkovní strojovně CH2 a distribuční strojovna v prostoru strojovny 6P302.</w:t>
      </w:r>
    </w:p>
    <w:p w:rsidR="00C94A81" w:rsidRDefault="00642A19" w:rsidP="00C94A81">
      <w:pPr>
        <w:pStyle w:val="Nadpis3"/>
      </w:pPr>
      <w:bookmarkStart w:id="34" w:name="_Toc58949343"/>
      <w:r>
        <w:t>Měsíční</w:t>
      </w:r>
      <w:r w:rsidR="00C94A81">
        <w:t xml:space="preserve"> bilance spotřeby chladu</w:t>
      </w:r>
      <w:bookmarkEnd w:id="34"/>
    </w:p>
    <w:p w:rsidR="00256367" w:rsidRDefault="00C86CA9" w:rsidP="00C86CA9">
      <w:r>
        <w:t xml:space="preserve">Skutečný stav </w:t>
      </w:r>
      <w:r w:rsidR="00256367">
        <w:t>dodávky</w:t>
      </w:r>
      <w:r>
        <w:t xml:space="preserve"> chladu</w:t>
      </w:r>
      <w:r w:rsidR="00256367">
        <w:t xml:space="preserve"> do soustavy a spotřeby elektrické energie</w:t>
      </w:r>
      <w:r>
        <w:t xml:space="preserve"> „zdroje chladu 1 – sezónní zdroj“ v jednotlivých měsících let 2019, 2020 </w:t>
      </w:r>
      <w:r w:rsidR="00256367">
        <w:t>znázorňují</w:t>
      </w:r>
      <w:r>
        <w:t xml:space="preserve"> </w:t>
      </w:r>
      <w:r w:rsidR="00B13E92">
        <w:fldChar w:fldCharType="begin"/>
      </w:r>
      <w:r w:rsidR="00B13E92">
        <w:instrText xml:space="preserve"> REF _Ref57203288 \h </w:instrText>
      </w:r>
      <w:r w:rsidR="00B13E92">
        <w:fldChar w:fldCharType="separate"/>
      </w:r>
      <w:r w:rsidR="00816426">
        <w:t xml:space="preserve">Graf </w:t>
      </w:r>
      <w:r w:rsidR="00816426">
        <w:rPr>
          <w:noProof/>
        </w:rPr>
        <w:t>7</w:t>
      </w:r>
      <w:r w:rsidR="00B13E92">
        <w:fldChar w:fldCharType="end"/>
      </w:r>
      <w:r w:rsidR="00B13E92">
        <w:t>, resp.</w:t>
      </w:r>
      <w:r>
        <w:t> </w:t>
      </w:r>
      <w:r w:rsidR="00B13E92">
        <w:fldChar w:fldCharType="begin"/>
      </w:r>
      <w:r w:rsidR="00B13E92">
        <w:instrText xml:space="preserve"> REF _Ref57203303 \h </w:instrText>
      </w:r>
      <w:r w:rsidR="00B13E92">
        <w:fldChar w:fldCharType="separate"/>
      </w:r>
      <w:r w:rsidR="00816426">
        <w:t xml:space="preserve">Graf </w:t>
      </w:r>
      <w:r w:rsidR="00816426">
        <w:rPr>
          <w:noProof/>
        </w:rPr>
        <w:t>8</w:t>
      </w:r>
      <w:r w:rsidR="00B13E92">
        <w:fldChar w:fldCharType="end"/>
      </w:r>
      <w:r>
        <w:t xml:space="preserve">. </w:t>
      </w:r>
      <w:r w:rsidR="00256367">
        <w:t>Dodávku chladu do soustavy a spotřebu elektrické energie</w:t>
      </w:r>
      <w:r>
        <w:t xml:space="preserve"> „zdroje chladu 2 – celoroční zdroj“ pak vystihují </w:t>
      </w:r>
      <w:r w:rsidR="00B13E92">
        <w:fldChar w:fldCharType="begin"/>
      </w:r>
      <w:r w:rsidR="00B13E92">
        <w:instrText xml:space="preserve"> REF _Ref57203347 \h </w:instrText>
      </w:r>
      <w:r w:rsidR="00B13E92">
        <w:fldChar w:fldCharType="separate"/>
      </w:r>
      <w:r w:rsidR="00816426">
        <w:t xml:space="preserve">Graf </w:t>
      </w:r>
      <w:r w:rsidR="00816426">
        <w:rPr>
          <w:noProof/>
        </w:rPr>
        <w:t>9</w:t>
      </w:r>
      <w:r w:rsidR="00B13E92">
        <w:fldChar w:fldCharType="end"/>
      </w:r>
      <w:r w:rsidR="00B13E92">
        <w:t>, resp.</w:t>
      </w:r>
      <w:r>
        <w:t xml:space="preserve"> </w:t>
      </w:r>
      <w:r w:rsidR="00B13E92">
        <w:fldChar w:fldCharType="begin"/>
      </w:r>
      <w:r w:rsidR="00B13E92">
        <w:instrText xml:space="preserve"> REF _Ref57203365 \h </w:instrText>
      </w:r>
      <w:r w:rsidR="00B13E92">
        <w:fldChar w:fldCharType="separate"/>
      </w:r>
      <w:r w:rsidR="00816426">
        <w:t xml:space="preserve">Graf </w:t>
      </w:r>
      <w:r w:rsidR="00816426">
        <w:rPr>
          <w:noProof/>
        </w:rPr>
        <w:t>10</w:t>
      </w:r>
      <w:r w:rsidR="00B13E92">
        <w:fldChar w:fldCharType="end"/>
      </w:r>
      <w:r>
        <w:t>. Podkladem pro zpracování grafů byly od</w:t>
      </w:r>
      <w:r w:rsidR="00256367">
        <w:t>ečty kalorimetrů a elektroměrů</w:t>
      </w:r>
      <w:r>
        <w:t>.</w:t>
      </w:r>
    </w:p>
    <w:p w:rsidR="000B365E" w:rsidRDefault="00B62357" w:rsidP="00C86CA9">
      <w:r>
        <w:t xml:space="preserve">Zdroj chladu 1 (letní chlazení) je provozován přibližně od května do října. Maximální dodávky chladu do soustavy zdroje chladu 1 jsou dosaženy v červenci. Během svého provozu (v rámci tzv. </w:t>
      </w:r>
      <w:r w:rsidR="000E4BD0">
        <w:t>šetření zařízení</w:t>
      </w:r>
      <w:r>
        <w:t xml:space="preserve">) pak toto zařízení (zdroj chladu 1) zásobuje chladem </w:t>
      </w:r>
      <w:r w:rsidR="000E4BD0">
        <w:t xml:space="preserve">prostřednictvím propojky </w:t>
      </w:r>
      <w:r>
        <w:t xml:space="preserve">také soustavu zdroje chladu 2. Důsledkem toho jsou zvýšené spotřeby elektrické energie u zdroje chladu 1 (viz </w:t>
      </w:r>
      <w:r>
        <w:fldChar w:fldCharType="begin"/>
      </w:r>
      <w:r>
        <w:instrText xml:space="preserve"> REF _Ref57203288 \h </w:instrText>
      </w:r>
      <w:r>
        <w:fldChar w:fldCharType="separate"/>
      </w:r>
      <w:r w:rsidR="00816426">
        <w:t xml:space="preserve">Graf </w:t>
      </w:r>
      <w:r w:rsidR="00816426">
        <w:rPr>
          <w:noProof/>
        </w:rPr>
        <w:t>7</w:t>
      </w:r>
      <w:r>
        <w:fldChar w:fldCharType="end"/>
      </w:r>
      <w:r>
        <w:t xml:space="preserve"> a </w:t>
      </w:r>
      <w:r>
        <w:fldChar w:fldCharType="begin"/>
      </w:r>
      <w:r>
        <w:instrText xml:space="preserve"> REF _Ref57203303 \h </w:instrText>
      </w:r>
      <w:r>
        <w:fldChar w:fldCharType="separate"/>
      </w:r>
      <w:r w:rsidR="00816426">
        <w:t xml:space="preserve">Graf </w:t>
      </w:r>
      <w:r w:rsidR="00816426">
        <w:rPr>
          <w:noProof/>
        </w:rPr>
        <w:t>8</w:t>
      </w:r>
      <w:r>
        <w:fldChar w:fldCharType="end"/>
      </w:r>
      <w:r>
        <w:t xml:space="preserve">) a naopak snížené spotřeby elektrické energie u zdroje chladu 2 (viz </w:t>
      </w:r>
      <w:r>
        <w:fldChar w:fldCharType="begin"/>
      </w:r>
      <w:r>
        <w:instrText xml:space="preserve"> REF _Ref57203347 \h </w:instrText>
      </w:r>
      <w:r>
        <w:fldChar w:fldCharType="separate"/>
      </w:r>
      <w:r w:rsidR="00816426">
        <w:t xml:space="preserve">Graf </w:t>
      </w:r>
      <w:r w:rsidR="00816426">
        <w:rPr>
          <w:noProof/>
        </w:rPr>
        <w:t>9</w:t>
      </w:r>
      <w:r>
        <w:fldChar w:fldCharType="end"/>
      </w:r>
      <w:r>
        <w:t xml:space="preserve"> a </w:t>
      </w:r>
      <w:r>
        <w:fldChar w:fldCharType="begin"/>
      </w:r>
      <w:r>
        <w:instrText xml:space="preserve"> REF _Ref57203365 \h </w:instrText>
      </w:r>
      <w:r>
        <w:fldChar w:fldCharType="separate"/>
      </w:r>
      <w:r w:rsidR="00816426">
        <w:t xml:space="preserve">Graf </w:t>
      </w:r>
      <w:r w:rsidR="00816426">
        <w:rPr>
          <w:noProof/>
        </w:rPr>
        <w:t>10</w:t>
      </w:r>
      <w:r>
        <w:fldChar w:fldCharType="end"/>
      </w:r>
      <w:r>
        <w:t>) vzhledem k vyrobenému množství chladu.</w:t>
      </w:r>
    </w:p>
    <w:p w:rsidR="00C86CA9" w:rsidRDefault="00B62357" w:rsidP="00C86CA9">
      <w:r>
        <w:t>Dodávka chladu zdroje chladu 2 (celoroční) svých maxim dosahuje v měsících červen</w:t>
      </w:r>
      <w:r w:rsidR="00F61E78">
        <w:t xml:space="preserve"> až </w:t>
      </w:r>
      <w:r>
        <w:t>září, kdy je přibližně dvoj až trojnásobná oproti zbylým měsícům.</w:t>
      </w:r>
    </w:p>
    <w:tbl>
      <w:tblPr>
        <w:tblStyle w:val="Mkatabulky"/>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212"/>
      </w:tblGrid>
      <w:tr w:rsidR="00C86CA9" w:rsidTr="00256367">
        <w:tc>
          <w:tcPr>
            <w:tcW w:w="9212" w:type="dxa"/>
          </w:tcPr>
          <w:p w:rsidR="00C86CA9" w:rsidRDefault="0033575B" w:rsidP="00C86CA9">
            <w:pPr>
              <w:keepNext/>
            </w:pPr>
            <w:r>
              <w:rPr>
                <w:noProof/>
                <w:lang w:eastAsia="cs-CZ"/>
              </w:rPr>
              <w:drawing>
                <wp:inline distT="0" distB="0" distL="0" distR="0" wp14:anchorId="5223E96D" wp14:editId="46BED26A">
                  <wp:extent cx="5760000" cy="3780000"/>
                  <wp:effectExtent l="0" t="0" r="0" b="0"/>
                  <wp:docPr id="61" name="Graf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C86CA9" w:rsidTr="00256367">
        <w:tblPrEx>
          <w:tblCellMar>
            <w:left w:w="108" w:type="dxa"/>
            <w:right w:w="108" w:type="dxa"/>
          </w:tblCellMar>
        </w:tblPrEx>
        <w:tc>
          <w:tcPr>
            <w:tcW w:w="9212" w:type="dxa"/>
          </w:tcPr>
          <w:p w:rsidR="00C86CA9" w:rsidRDefault="00C86CA9" w:rsidP="00C86CA9">
            <w:pPr>
              <w:pStyle w:val="Obrzek"/>
            </w:pPr>
            <w:bookmarkStart w:id="35" w:name="_Ref57203288"/>
            <w:r>
              <w:t xml:space="preserve">Graf </w:t>
            </w:r>
            <w:fldSimple w:instr=" SEQ Graf \* ARABIC ">
              <w:r w:rsidR="00816426">
                <w:rPr>
                  <w:noProof/>
                </w:rPr>
                <w:t>7</w:t>
              </w:r>
            </w:fldSimple>
            <w:bookmarkEnd w:id="35"/>
            <w:r>
              <w:t xml:space="preserve"> Měsíční spotřeby chladu 2019 (zdroj chladu 1)</w:t>
            </w:r>
          </w:p>
        </w:tc>
      </w:tr>
      <w:tr w:rsidR="00C86CA9" w:rsidTr="00256367">
        <w:tc>
          <w:tcPr>
            <w:tcW w:w="9212" w:type="dxa"/>
          </w:tcPr>
          <w:p w:rsidR="00C86CA9" w:rsidRDefault="0033575B" w:rsidP="00C86CA9">
            <w:pPr>
              <w:keepNext/>
            </w:pPr>
            <w:r>
              <w:rPr>
                <w:noProof/>
                <w:lang w:eastAsia="cs-CZ"/>
              </w:rPr>
              <w:drawing>
                <wp:inline distT="0" distB="0" distL="0" distR="0" wp14:anchorId="219B01DA" wp14:editId="52A2DDC3">
                  <wp:extent cx="5760000" cy="3780000"/>
                  <wp:effectExtent l="0" t="0" r="0" b="0"/>
                  <wp:docPr id="62" name="Graf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C86CA9" w:rsidTr="00256367">
        <w:tblPrEx>
          <w:tblCellMar>
            <w:left w:w="108" w:type="dxa"/>
            <w:right w:w="108" w:type="dxa"/>
          </w:tblCellMar>
        </w:tblPrEx>
        <w:tc>
          <w:tcPr>
            <w:tcW w:w="9212" w:type="dxa"/>
          </w:tcPr>
          <w:p w:rsidR="00C86CA9" w:rsidRDefault="00C86CA9" w:rsidP="00C86CA9">
            <w:pPr>
              <w:pStyle w:val="Obrzek"/>
            </w:pPr>
            <w:bookmarkStart w:id="36" w:name="_Ref57203303"/>
            <w:r>
              <w:t xml:space="preserve">Graf </w:t>
            </w:r>
            <w:fldSimple w:instr=" SEQ Graf \* ARABIC ">
              <w:r w:rsidR="00816426">
                <w:rPr>
                  <w:noProof/>
                </w:rPr>
                <w:t>8</w:t>
              </w:r>
            </w:fldSimple>
            <w:bookmarkEnd w:id="36"/>
            <w:r>
              <w:t xml:space="preserve"> Měsíční spotřeby chladu 2020 (zdroj chladu 2)</w:t>
            </w:r>
          </w:p>
        </w:tc>
      </w:tr>
      <w:tr w:rsidR="00C86CA9" w:rsidTr="00256367">
        <w:tc>
          <w:tcPr>
            <w:tcW w:w="9212" w:type="dxa"/>
          </w:tcPr>
          <w:p w:rsidR="00C86CA9" w:rsidRDefault="0033575B" w:rsidP="00B13E92">
            <w:pPr>
              <w:keepNext/>
            </w:pPr>
            <w:r>
              <w:rPr>
                <w:noProof/>
                <w:lang w:eastAsia="cs-CZ"/>
              </w:rPr>
              <w:drawing>
                <wp:inline distT="0" distB="0" distL="0" distR="0" wp14:anchorId="4D226C50" wp14:editId="3CA2172C">
                  <wp:extent cx="5760000" cy="3780000"/>
                  <wp:effectExtent l="0" t="0" r="0" b="0"/>
                  <wp:docPr id="63" name="Graf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C86CA9" w:rsidTr="00256367">
        <w:tblPrEx>
          <w:tblCellMar>
            <w:left w:w="108" w:type="dxa"/>
            <w:right w:w="108" w:type="dxa"/>
          </w:tblCellMar>
        </w:tblPrEx>
        <w:tc>
          <w:tcPr>
            <w:tcW w:w="9212" w:type="dxa"/>
          </w:tcPr>
          <w:p w:rsidR="00C86CA9" w:rsidRDefault="00B13E92" w:rsidP="00B13E92">
            <w:pPr>
              <w:pStyle w:val="Obrzek"/>
            </w:pPr>
            <w:bookmarkStart w:id="37" w:name="_Ref57203347"/>
            <w:r>
              <w:t xml:space="preserve">Graf </w:t>
            </w:r>
            <w:fldSimple w:instr=" SEQ Graf \* ARABIC ">
              <w:r w:rsidR="00816426">
                <w:rPr>
                  <w:noProof/>
                </w:rPr>
                <w:t>9</w:t>
              </w:r>
            </w:fldSimple>
            <w:bookmarkEnd w:id="37"/>
            <w:r>
              <w:t xml:space="preserve"> Měsíční spotřeby chladu 2019 (zdroj chladu 2)</w:t>
            </w:r>
          </w:p>
        </w:tc>
      </w:tr>
      <w:tr w:rsidR="00C86CA9" w:rsidTr="00256367">
        <w:tc>
          <w:tcPr>
            <w:tcW w:w="9212" w:type="dxa"/>
          </w:tcPr>
          <w:p w:rsidR="00C86CA9" w:rsidRDefault="0033575B" w:rsidP="00B13E92">
            <w:pPr>
              <w:keepNext/>
            </w:pPr>
            <w:r>
              <w:rPr>
                <w:noProof/>
                <w:lang w:eastAsia="cs-CZ"/>
              </w:rPr>
              <w:drawing>
                <wp:inline distT="0" distB="0" distL="0" distR="0" wp14:anchorId="315FD238" wp14:editId="44108303">
                  <wp:extent cx="5760000" cy="3780000"/>
                  <wp:effectExtent l="0" t="0" r="0" b="0"/>
                  <wp:docPr id="64" name="Graf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C86CA9" w:rsidTr="00256367">
        <w:tblPrEx>
          <w:tblCellMar>
            <w:left w:w="108" w:type="dxa"/>
            <w:right w:w="108" w:type="dxa"/>
          </w:tblCellMar>
        </w:tblPrEx>
        <w:tc>
          <w:tcPr>
            <w:tcW w:w="9212" w:type="dxa"/>
          </w:tcPr>
          <w:p w:rsidR="00C86CA9" w:rsidRDefault="00B13E92" w:rsidP="00B13E92">
            <w:pPr>
              <w:pStyle w:val="Obrzek"/>
            </w:pPr>
            <w:bookmarkStart w:id="38" w:name="_Ref57203365"/>
            <w:r>
              <w:t xml:space="preserve">Graf </w:t>
            </w:r>
            <w:fldSimple w:instr=" SEQ Graf \* ARABIC ">
              <w:r w:rsidR="00816426">
                <w:rPr>
                  <w:noProof/>
                </w:rPr>
                <w:t>10</w:t>
              </w:r>
            </w:fldSimple>
            <w:bookmarkEnd w:id="38"/>
            <w:r>
              <w:t xml:space="preserve"> Měsíční spotřeby chladu 2020 (zdroj chladu 2)</w:t>
            </w:r>
          </w:p>
        </w:tc>
      </w:tr>
    </w:tbl>
    <w:p w:rsidR="00C94A81" w:rsidRDefault="00642A19" w:rsidP="00A10D0B">
      <w:pPr>
        <w:pStyle w:val="Nadpis3"/>
      </w:pPr>
      <w:bookmarkStart w:id="39" w:name="_Toc58949344"/>
      <w:r>
        <w:t>Denní bilance spotřeby chladu</w:t>
      </w:r>
      <w:bookmarkEnd w:id="39"/>
    </w:p>
    <w:p w:rsidR="009A47F4" w:rsidRDefault="009A47F4" w:rsidP="009A47F4">
      <w:r>
        <w:t>Obdobné bilance (dodávka chladu, spotřeba elektrické energie chladicích zařízení) byly zpracovány pro jednotlivé dny měsíce července 2020</w:t>
      </w:r>
      <w:r w:rsidR="00CD1314">
        <w:t xml:space="preserve">. </w:t>
      </w:r>
      <w:r w:rsidR="0091108B">
        <w:t xml:space="preserve">Zdroj chladu 1 je znázorněn na </w:t>
      </w:r>
      <w:r w:rsidR="00E764B8">
        <w:fldChar w:fldCharType="begin"/>
      </w:r>
      <w:r w:rsidR="00E764B8">
        <w:instrText xml:space="preserve"> REF _Ref57211624 \h </w:instrText>
      </w:r>
      <w:r w:rsidR="00E764B8">
        <w:fldChar w:fldCharType="separate"/>
      </w:r>
      <w:r w:rsidR="00816426">
        <w:t xml:space="preserve">Graf </w:t>
      </w:r>
      <w:r w:rsidR="00816426">
        <w:rPr>
          <w:noProof/>
        </w:rPr>
        <w:t>11</w:t>
      </w:r>
      <w:r w:rsidR="00E764B8">
        <w:fldChar w:fldCharType="end"/>
      </w:r>
      <w:r w:rsidR="0091108B">
        <w:t xml:space="preserve">, zdroj chladu 2 na </w:t>
      </w:r>
      <w:r w:rsidR="00E764B8">
        <w:fldChar w:fldCharType="begin"/>
      </w:r>
      <w:r w:rsidR="00E764B8">
        <w:instrText xml:space="preserve"> REF _Ref57211635 \h </w:instrText>
      </w:r>
      <w:r w:rsidR="00E764B8">
        <w:fldChar w:fldCharType="separate"/>
      </w:r>
      <w:r w:rsidR="00816426">
        <w:t xml:space="preserve">Graf </w:t>
      </w:r>
      <w:r w:rsidR="00816426">
        <w:rPr>
          <w:noProof/>
        </w:rPr>
        <w:t>12</w:t>
      </w:r>
      <w:r w:rsidR="00E764B8">
        <w:fldChar w:fldCharType="end"/>
      </w:r>
      <w:r w:rsidR="0091108B">
        <w:t>.</w:t>
      </w:r>
    </w:p>
    <w:p w:rsidR="00E764B8" w:rsidRDefault="00E764B8" w:rsidP="009A47F4">
      <w:r>
        <w:t>Z uvedených grafů je zřejmá nižší dodávka chladu během víkendů</w:t>
      </w:r>
      <w:r w:rsidR="00F60DD2">
        <w:t xml:space="preserve"> v době pracovního klidu</w:t>
      </w:r>
      <w:r>
        <w:t xml:space="preserve">. </w:t>
      </w:r>
      <w:r w:rsidR="00E469E3">
        <w:t>Je to dáno tím, že v kancelářích je instalováno čidlo přítomnosti, tj. v době nepřítomnosti osob je chlazení místností vypnuté.</w:t>
      </w:r>
      <w:r w:rsidR="00D520F4">
        <w:t xml:space="preserve"> Znovu je patrná zvýšená spotřeba elektrické energie u zdroje chladu 1 a snížená spotřeba elektrické energie u zdroje chladu 2. </w:t>
      </w:r>
    </w:p>
    <w:tbl>
      <w:tblPr>
        <w:tblStyle w:val="Mkatabulky"/>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212"/>
      </w:tblGrid>
      <w:tr w:rsidR="0091108B" w:rsidTr="00E764B8">
        <w:tc>
          <w:tcPr>
            <w:tcW w:w="9212" w:type="dxa"/>
          </w:tcPr>
          <w:p w:rsidR="0091108B" w:rsidRDefault="0091108B" w:rsidP="0091108B">
            <w:pPr>
              <w:keepNext/>
            </w:pPr>
            <w:r>
              <w:rPr>
                <w:noProof/>
                <w:lang w:eastAsia="cs-CZ"/>
              </w:rPr>
              <w:drawing>
                <wp:inline distT="0" distB="0" distL="0" distR="0" wp14:anchorId="487EEDAB" wp14:editId="4870A252">
                  <wp:extent cx="5760000" cy="3780000"/>
                  <wp:effectExtent l="0" t="0" r="0" b="0"/>
                  <wp:docPr id="65" name="Graf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91108B" w:rsidTr="00E764B8">
        <w:tblPrEx>
          <w:tblCellMar>
            <w:left w:w="108" w:type="dxa"/>
            <w:right w:w="108" w:type="dxa"/>
          </w:tblCellMar>
        </w:tblPrEx>
        <w:tc>
          <w:tcPr>
            <w:tcW w:w="9212" w:type="dxa"/>
          </w:tcPr>
          <w:p w:rsidR="0091108B" w:rsidRDefault="0091108B" w:rsidP="0091108B">
            <w:pPr>
              <w:pStyle w:val="Obrzek"/>
              <w:keepNext w:val="0"/>
            </w:pPr>
            <w:bookmarkStart w:id="40" w:name="_Ref57211624"/>
            <w:r>
              <w:t xml:space="preserve">Graf </w:t>
            </w:r>
            <w:fldSimple w:instr=" SEQ Graf \* ARABIC ">
              <w:r w:rsidR="00816426">
                <w:rPr>
                  <w:noProof/>
                </w:rPr>
                <w:t>11</w:t>
              </w:r>
            </w:fldSimple>
            <w:bookmarkEnd w:id="40"/>
            <w:r>
              <w:t xml:space="preserve"> Denní spotřeby chladu – červenec 2020 (zdroj chladu 1)</w:t>
            </w:r>
          </w:p>
        </w:tc>
      </w:tr>
      <w:tr w:rsidR="0091108B" w:rsidTr="00E764B8">
        <w:tc>
          <w:tcPr>
            <w:tcW w:w="9212" w:type="dxa"/>
          </w:tcPr>
          <w:p w:rsidR="0091108B" w:rsidRDefault="00E764B8" w:rsidP="00E764B8">
            <w:pPr>
              <w:keepNext/>
            </w:pPr>
            <w:r>
              <w:rPr>
                <w:noProof/>
                <w:lang w:eastAsia="cs-CZ"/>
              </w:rPr>
              <w:drawing>
                <wp:inline distT="0" distB="0" distL="0" distR="0" wp14:anchorId="240FFE87" wp14:editId="14A4599C">
                  <wp:extent cx="5760000" cy="3780000"/>
                  <wp:effectExtent l="0" t="0" r="0" b="0"/>
                  <wp:docPr id="66" name="Graf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91108B" w:rsidTr="00E764B8">
        <w:tblPrEx>
          <w:tblCellMar>
            <w:left w:w="108" w:type="dxa"/>
            <w:right w:w="108" w:type="dxa"/>
          </w:tblCellMar>
        </w:tblPrEx>
        <w:tc>
          <w:tcPr>
            <w:tcW w:w="9212" w:type="dxa"/>
          </w:tcPr>
          <w:p w:rsidR="0091108B" w:rsidRDefault="00E764B8" w:rsidP="00E764B8">
            <w:pPr>
              <w:pStyle w:val="Obrzek"/>
            </w:pPr>
            <w:bookmarkStart w:id="41" w:name="_Ref57211635"/>
            <w:r>
              <w:t xml:space="preserve">Graf </w:t>
            </w:r>
            <w:fldSimple w:instr=" SEQ Graf \* ARABIC ">
              <w:r w:rsidR="00816426">
                <w:rPr>
                  <w:noProof/>
                </w:rPr>
                <w:t>12</w:t>
              </w:r>
            </w:fldSimple>
            <w:bookmarkEnd w:id="41"/>
            <w:r>
              <w:t xml:space="preserve"> Denní spotřeby chladu – červenec 2020 (zdroj chladu 2)</w:t>
            </w:r>
          </w:p>
        </w:tc>
      </w:tr>
    </w:tbl>
    <w:p w:rsidR="00594F2C" w:rsidRDefault="00594F2C" w:rsidP="00594F2C">
      <w:pPr>
        <w:pStyle w:val="Nadpis2"/>
      </w:pPr>
      <w:bookmarkStart w:id="42" w:name="_Ref58235242"/>
      <w:bookmarkStart w:id="43" w:name="_Toc58949345"/>
      <w:r>
        <w:t>Elektrická energie</w:t>
      </w:r>
      <w:bookmarkEnd w:id="42"/>
      <w:bookmarkEnd w:id="43"/>
    </w:p>
    <w:p w:rsidR="00DE704A" w:rsidRPr="00DE704A" w:rsidRDefault="00DE704A" w:rsidP="00DE704A">
      <w:r>
        <w:t xml:space="preserve">Dalším </w:t>
      </w:r>
      <w:r w:rsidR="00BD41EF">
        <w:t>nezbytným</w:t>
      </w:r>
      <w:r>
        <w:t xml:space="preserve"> parametrem pro výběr</w:t>
      </w:r>
      <w:r w:rsidR="00BD41EF">
        <w:t xml:space="preserve"> KGJ je spotřeba elektrické energie.</w:t>
      </w:r>
      <w:r>
        <w:t xml:space="preserve"> </w:t>
      </w:r>
    </w:p>
    <w:p w:rsidR="00BD41EF" w:rsidRDefault="00BD41EF" w:rsidP="00594F2C">
      <w:pPr>
        <w:pStyle w:val="Nadpis3"/>
      </w:pPr>
      <w:bookmarkStart w:id="44" w:name="_Toc58949346"/>
      <w:r>
        <w:t>Měsíční bilance spotřeby elektrické energie</w:t>
      </w:r>
      <w:bookmarkEnd w:id="44"/>
    </w:p>
    <w:p w:rsidR="00594F2C" w:rsidRDefault="00BD41EF" w:rsidP="00BD41EF">
      <w:r>
        <w:t xml:space="preserve">Měsíční bilance spotřeby </w:t>
      </w:r>
      <w:r w:rsidR="007827A9">
        <w:t xml:space="preserve">byly zpracovány pro rok 2019, 2020 – viz </w:t>
      </w:r>
      <w:r w:rsidR="00D82225">
        <w:fldChar w:fldCharType="begin"/>
      </w:r>
      <w:r w:rsidR="00D82225">
        <w:instrText xml:space="preserve"> REF _Ref57213907 \h </w:instrText>
      </w:r>
      <w:r w:rsidR="00D82225">
        <w:fldChar w:fldCharType="separate"/>
      </w:r>
      <w:r w:rsidR="00816426">
        <w:t xml:space="preserve">Graf </w:t>
      </w:r>
      <w:r w:rsidR="00816426">
        <w:rPr>
          <w:noProof/>
        </w:rPr>
        <w:t>13</w:t>
      </w:r>
      <w:r w:rsidR="00D82225">
        <w:fldChar w:fldCharType="end"/>
      </w:r>
      <w:r w:rsidR="007827A9">
        <w:t xml:space="preserve">, resp. </w:t>
      </w:r>
      <w:r w:rsidR="00D82225">
        <w:fldChar w:fldCharType="begin"/>
      </w:r>
      <w:r w:rsidR="00D82225">
        <w:instrText xml:space="preserve"> REF _Ref57213915 \h </w:instrText>
      </w:r>
      <w:r w:rsidR="00D82225">
        <w:fldChar w:fldCharType="separate"/>
      </w:r>
      <w:r w:rsidR="00816426">
        <w:t xml:space="preserve">Graf </w:t>
      </w:r>
      <w:r w:rsidR="00816426">
        <w:rPr>
          <w:noProof/>
        </w:rPr>
        <w:t>14</w:t>
      </w:r>
      <w:r w:rsidR="00D82225">
        <w:fldChar w:fldCharType="end"/>
      </w:r>
      <w:r w:rsidR="007827A9">
        <w:t>.</w:t>
      </w:r>
      <w:r w:rsidR="00594F2C">
        <w:t xml:space="preserve"> </w:t>
      </w:r>
      <w:r w:rsidR="007827A9">
        <w:t>Podkladem pro vytvoření grafů byly měřené činné okamžité spotřeby měřené po čtvrthodinách.</w:t>
      </w:r>
    </w:p>
    <w:p w:rsidR="009554AF" w:rsidRDefault="00F61E78" w:rsidP="00BD41EF">
      <w:r>
        <w:t xml:space="preserve">Průběh měsíčních spotřeb během let 2019, 2020 byl poměrně vyrovnaný. Mírných maxim je dosahováno v letních měsících, kdy je zvýšený odběr způsoben provozem kompresorových chladicích zařízení. Pro tyto měsíce je zapotřebí dokupovat měsíční kapacitu rezervované elektrické energie. </w:t>
      </w:r>
    </w:p>
    <w:p w:rsidR="00DE53F1" w:rsidRDefault="00DE53F1" w:rsidP="00BD41EF">
      <w:r>
        <w:t>V roce 2020 jsou zaznamenávány nižší měsíční spotřeby elektrické energie oproti stejným měsícům roku 2019. To je zapříčiněno pandemickou situací (COVID-19), kdy byla část zaměstnanců na home office.</w:t>
      </w:r>
    </w:p>
    <w:tbl>
      <w:tblPr>
        <w:tblStyle w:val="Mkatabulky"/>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212"/>
      </w:tblGrid>
      <w:tr w:rsidR="007827A9" w:rsidTr="00573F53">
        <w:tc>
          <w:tcPr>
            <w:tcW w:w="9212" w:type="dxa"/>
          </w:tcPr>
          <w:p w:rsidR="007827A9" w:rsidRDefault="007727A9" w:rsidP="007827A9">
            <w:pPr>
              <w:keepNext/>
            </w:pPr>
            <w:r>
              <w:rPr>
                <w:noProof/>
                <w:lang w:eastAsia="cs-CZ"/>
              </w:rPr>
              <w:drawing>
                <wp:inline distT="0" distB="0" distL="0" distR="0" wp14:anchorId="000E83FA" wp14:editId="47E9BA2D">
                  <wp:extent cx="5760000" cy="3780000"/>
                  <wp:effectExtent l="0" t="0" r="0" b="0"/>
                  <wp:docPr id="27" name="Graf 27">
                    <a:extLst xmlns:a="http://schemas.openxmlformats.org/drawingml/2006/main">
                      <a:ext uri="{FF2B5EF4-FFF2-40B4-BE49-F238E27FC236}">
                        <a16:creationId xmlns:a16="http://schemas.microsoft.com/office/drawing/2014/main" id="{0B129E28-117E-4788-9940-6BF7CD720E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7827A9" w:rsidTr="00573F53">
        <w:tblPrEx>
          <w:tblCellMar>
            <w:left w:w="108" w:type="dxa"/>
            <w:right w:w="108" w:type="dxa"/>
          </w:tblCellMar>
        </w:tblPrEx>
        <w:tc>
          <w:tcPr>
            <w:tcW w:w="9212" w:type="dxa"/>
          </w:tcPr>
          <w:p w:rsidR="007827A9" w:rsidRDefault="007827A9" w:rsidP="007827A9">
            <w:pPr>
              <w:pStyle w:val="Obrzek"/>
            </w:pPr>
            <w:bookmarkStart w:id="45" w:name="_Ref57213907"/>
            <w:r>
              <w:t xml:space="preserve">Graf </w:t>
            </w:r>
            <w:fldSimple w:instr=" SEQ Graf \* ARABIC ">
              <w:r w:rsidR="00816426">
                <w:rPr>
                  <w:noProof/>
                </w:rPr>
                <w:t>13</w:t>
              </w:r>
            </w:fldSimple>
            <w:bookmarkEnd w:id="45"/>
            <w:r>
              <w:t xml:space="preserve"> Měsíční spotřeby elektrické energie 2019</w:t>
            </w:r>
          </w:p>
        </w:tc>
      </w:tr>
      <w:tr w:rsidR="00D82225" w:rsidTr="00573F53">
        <w:tc>
          <w:tcPr>
            <w:tcW w:w="9212" w:type="dxa"/>
          </w:tcPr>
          <w:p w:rsidR="00D82225" w:rsidRDefault="007727A9" w:rsidP="00D82225">
            <w:pPr>
              <w:keepNext/>
            </w:pPr>
            <w:r>
              <w:rPr>
                <w:noProof/>
                <w:lang w:eastAsia="cs-CZ"/>
              </w:rPr>
              <w:drawing>
                <wp:inline distT="0" distB="0" distL="0" distR="0" wp14:anchorId="6C983E91" wp14:editId="27A52F92">
                  <wp:extent cx="5760000" cy="3780000"/>
                  <wp:effectExtent l="0" t="0" r="0" b="0"/>
                  <wp:docPr id="37" name="Graf 37">
                    <a:extLst xmlns:a="http://schemas.openxmlformats.org/drawingml/2006/main">
                      <a:ext uri="{FF2B5EF4-FFF2-40B4-BE49-F238E27FC236}">
                        <a16:creationId xmlns:a16="http://schemas.microsoft.com/office/drawing/2014/main" id="{0B129E28-117E-4788-9940-6BF7CD720E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D82225" w:rsidTr="00573F53">
        <w:tblPrEx>
          <w:tblCellMar>
            <w:left w:w="108" w:type="dxa"/>
            <w:right w:w="108" w:type="dxa"/>
          </w:tblCellMar>
        </w:tblPrEx>
        <w:tc>
          <w:tcPr>
            <w:tcW w:w="9212" w:type="dxa"/>
          </w:tcPr>
          <w:p w:rsidR="00D82225" w:rsidRDefault="00D82225" w:rsidP="00D82225">
            <w:pPr>
              <w:pStyle w:val="Obrzek"/>
            </w:pPr>
            <w:bookmarkStart w:id="46" w:name="_Ref57213915"/>
            <w:r>
              <w:t xml:space="preserve">Graf </w:t>
            </w:r>
            <w:fldSimple w:instr=" SEQ Graf \* ARABIC ">
              <w:r w:rsidR="00816426">
                <w:rPr>
                  <w:noProof/>
                </w:rPr>
                <w:t>14</w:t>
              </w:r>
            </w:fldSimple>
            <w:bookmarkEnd w:id="46"/>
            <w:r>
              <w:t xml:space="preserve"> Měsíční spotřeby elektrické energie 2020</w:t>
            </w:r>
          </w:p>
        </w:tc>
      </w:tr>
    </w:tbl>
    <w:p w:rsidR="00D82225" w:rsidRDefault="001C0DE2" w:rsidP="00D82225">
      <w:pPr>
        <w:pStyle w:val="Nadpis3"/>
      </w:pPr>
      <w:bookmarkStart w:id="47" w:name="_Toc58949347"/>
      <w:r>
        <w:t>Průběh</w:t>
      </w:r>
      <w:r w:rsidR="00D82225">
        <w:t xml:space="preserve"> spotřeby elektrické energie</w:t>
      </w:r>
      <w:r>
        <w:t xml:space="preserve"> ve vybraných dnech</w:t>
      </w:r>
      <w:bookmarkEnd w:id="47"/>
    </w:p>
    <w:p w:rsidR="00D82225" w:rsidRDefault="00D82225" w:rsidP="00D82225">
      <w:r>
        <w:t>V rámci spotřeb elektrické energie</w:t>
      </w:r>
      <w:r w:rsidR="001C0DE2">
        <w:t>, měřených po čtvrthodinách,</w:t>
      </w:r>
      <w:r>
        <w:t xml:space="preserve"> se významně lišila spotřeba elektřiny v zimních a letních měsících a také během pracovních a víkendových dnů. Z tohoto důvodu byly pro hodinové bilance vybrány následující dny: 3. 2. 2019 (neděle, </w:t>
      </w:r>
      <w:r w:rsidR="00E147CA">
        <w:fldChar w:fldCharType="begin"/>
      </w:r>
      <w:r w:rsidR="00E147CA">
        <w:instrText xml:space="preserve"> REF _Ref57215958 \h </w:instrText>
      </w:r>
      <w:r w:rsidR="00E147CA">
        <w:fldChar w:fldCharType="separate"/>
      </w:r>
      <w:r w:rsidR="00816426">
        <w:t xml:space="preserve">Graf </w:t>
      </w:r>
      <w:r w:rsidR="00816426">
        <w:rPr>
          <w:noProof/>
        </w:rPr>
        <w:t>15</w:t>
      </w:r>
      <w:r w:rsidR="00E147CA">
        <w:fldChar w:fldCharType="end"/>
      </w:r>
      <w:r>
        <w:t xml:space="preserve">), 4. 2. 2019 (pondělí, </w:t>
      </w:r>
      <w:r w:rsidR="000028F2">
        <w:fldChar w:fldCharType="begin"/>
      </w:r>
      <w:r w:rsidR="000028F2">
        <w:instrText xml:space="preserve"> REF _Ref57216072 \h </w:instrText>
      </w:r>
      <w:r w:rsidR="000028F2">
        <w:fldChar w:fldCharType="separate"/>
      </w:r>
      <w:r w:rsidR="00816426">
        <w:t xml:space="preserve">Graf </w:t>
      </w:r>
      <w:r w:rsidR="00816426">
        <w:rPr>
          <w:noProof/>
        </w:rPr>
        <w:t>16</w:t>
      </w:r>
      <w:r w:rsidR="000028F2">
        <w:fldChar w:fldCharType="end"/>
      </w:r>
      <w:r>
        <w:t xml:space="preserve">), 21. 7. 2019 (neděle, </w:t>
      </w:r>
      <w:r w:rsidR="000028F2">
        <w:fldChar w:fldCharType="begin"/>
      </w:r>
      <w:r w:rsidR="000028F2">
        <w:instrText xml:space="preserve"> REF _Ref57216308 \h </w:instrText>
      </w:r>
      <w:r w:rsidR="000028F2">
        <w:fldChar w:fldCharType="separate"/>
      </w:r>
      <w:r w:rsidR="00816426">
        <w:t xml:space="preserve">Graf </w:t>
      </w:r>
      <w:r w:rsidR="00816426">
        <w:rPr>
          <w:noProof/>
        </w:rPr>
        <w:t>17</w:t>
      </w:r>
      <w:r w:rsidR="000028F2">
        <w:fldChar w:fldCharType="end"/>
      </w:r>
      <w:r>
        <w:t xml:space="preserve">), 22. 7. 2019 (pondělí, </w:t>
      </w:r>
      <w:r w:rsidR="000028F2">
        <w:fldChar w:fldCharType="begin"/>
      </w:r>
      <w:r w:rsidR="000028F2">
        <w:instrText xml:space="preserve"> REF _Ref57216318 \h </w:instrText>
      </w:r>
      <w:r w:rsidR="000028F2">
        <w:fldChar w:fldCharType="separate"/>
      </w:r>
      <w:r w:rsidR="00816426">
        <w:t xml:space="preserve">Graf </w:t>
      </w:r>
      <w:r w:rsidR="00816426">
        <w:rPr>
          <w:noProof/>
        </w:rPr>
        <w:t>18</w:t>
      </w:r>
      <w:r w:rsidR="000028F2">
        <w:fldChar w:fldCharType="end"/>
      </w:r>
      <w:r>
        <w:t>).</w:t>
      </w:r>
    </w:p>
    <w:tbl>
      <w:tblPr>
        <w:tblStyle w:val="Mkatabulky"/>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212"/>
      </w:tblGrid>
      <w:tr w:rsidR="001C0DE2" w:rsidTr="00573F53">
        <w:tc>
          <w:tcPr>
            <w:tcW w:w="9212" w:type="dxa"/>
          </w:tcPr>
          <w:p w:rsidR="001C0DE2" w:rsidRDefault="00573F53" w:rsidP="00E147CA">
            <w:pPr>
              <w:keepNext/>
            </w:pPr>
            <w:r>
              <w:rPr>
                <w:noProof/>
                <w:lang w:eastAsia="cs-CZ"/>
              </w:rPr>
              <w:drawing>
                <wp:inline distT="0" distB="0" distL="0" distR="0" wp14:anchorId="071EC74A" wp14:editId="42D00DCA">
                  <wp:extent cx="5760720" cy="3240000"/>
                  <wp:effectExtent l="0" t="0" r="0" b="0"/>
                  <wp:docPr id="53" name="Graf 53">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1C0DE2" w:rsidTr="00573F53">
        <w:tblPrEx>
          <w:tblCellMar>
            <w:left w:w="108" w:type="dxa"/>
            <w:right w:w="108" w:type="dxa"/>
          </w:tblCellMar>
        </w:tblPrEx>
        <w:tc>
          <w:tcPr>
            <w:tcW w:w="9212" w:type="dxa"/>
          </w:tcPr>
          <w:p w:rsidR="001C0DE2" w:rsidRDefault="00E147CA" w:rsidP="00E147CA">
            <w:pPr>
              <w:pStyle w:val="Obrzek"/>
            </w:pPr>
            <w:bookmarkStart w:id="48" w:name="_Ref57215958"/>
            <w:r>
              <w:t xml:space="preserve">Graf </w:t>
            </w:r>
            <w:fldSimple w:instr=" SEQ Graf \* ARABIC ">
              <w:r w:rsidR="00816426">
                <w:rPr>
                  <w:noProof/>
                </w:rPr>
                <w:t>15</w:t>
              </w:r>
            </w:fldSimple>
            <w:bookmarkEnd w:id="48"/>
            <w:r>
              <w:t xml:space="preserve"> Průběh spotřeby elektrické energie (neděle 3. 2. 2019)</w:t>
            </w:r>
          </w:p>
        </w:tc>
      </w:tr>
      <w:tr w:rsidR="00E147CA" w:rsidTr="00573F53">
        <w:tc>
          <w:tcPr>
            <w:tcW w:w="9212" w:type="dxa"/>
          </w:tcPr>
          <w:p w:rsidR="00E147CA" w:rsidRDefault="00573F53" w:rsidP="00E147CA">
            <w:pPr>
              <w:keepNext/>
            </w:pPr>
            <w:r>
              <w:rPr>
                <w:noProof/>
                <w:lang w:eastAsia="cs-CZ"/>
              </w:rPr>
              <w:drawing>
                <wp:inline distT="0" distB="0" distL="0" distR="0" wp14:anchorId="42ADE928" wp14:editId="24D67727">
                  <wp:extent cx="5760000" cy="3240000"/>
                  <wp:effectExtent l="0" t="0" r="0" b="0"/>
                  <wp:docPr id="54" name="Graf 54">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E147CA" w:rsidTr="00573F53">
        <w:tblPrEx>
          <w:tblCellMar>
            <w:left w:w="108" w:type="dxa"/>
            <w:right w:w="108" w:type="dxa"/>
          </w:tblCellMar>
        </w:tblPrEx>
        <w:tc>
          <w:tcPr>
            <w:tcW w:w="9212" w:type="dxa"/>
          </w:tcPr>
          <w:p w:rsidR="00E147CA" w:rsidRPr="000028F2" w:rsidRDefault="000028F2" w:rsidP="000028F2">
            <w:pPr>
              <w:pStyle w:val="Obrzek"/>
              <w:keepNext w:val="0"/>
            </w:pPr>
            <w:bookmarkStart w:id="49" w:name="_Ref57216072"/>
            <w:r>
              <w:t xml:space="preserve">Graf </w:t>
            </w:r>
            <w:fldSimple w:instr=" SEQ Graf \* ARABIC ">
              <w:r w:rsidR="00816426">
                <w:rPr>
                  <w:noProof/>
                </w:rPr>
                <w:t>16</w:t>
              </w:r>
            </w:fldSimple>
            <w:bookmarkEnd w:id="49"/>
            <w:r>
              <w:t xml:space="preserve"> Průběh spotřeby elektrické energie (pondělí 4. 2. 2019)</w:t>
            </w:r>
          </w:p>
        </w:tc>
      </w:tr>
      <w:tr w:rsidR="000028F2" w:rsidTr="00573F53">
        <w:tc>
          <w:tcPr>
            <w:tcW w:w="9212" w:type="dxa"/>
          </w:tcPr>
          <w:p w:rsidR="000028F2" w:rsidRDefault="00573F53" w:rsidP="000028F2">
            <w:pPr>
              <w:keepNext/>
            </w:pPr>
            <w:r>
              <w:rPr>
                <w:noProof/>
                <w:lang w:eastAsia="cs-CZ"/>
              </w:rPr>
              <w:drawing>
                <wp:inline distT="0" distB="0" distL="0" distR="0" wp14:anchorId="52A5E1EB" wp14:editId="40D8CA8A">
                  <wp:extent cx="5760720" cy="3240000"/>
                  <wp:effectExtent l="0" t="0" r="0" b="0"/>
                  <wp:docPr id="55" name="Graf 55">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0028F2" w:rsidTr="00573F53">
        <w:tblPrEx>
          <w:tblCellMar>
            <w:left w:w="108" w:type="dxa"/>
            <w:right w:w="108" w:type="dxa"/>
          </w:tblCellMar>
        </w:tblPrEx>
        <w:tc>
          <w:tcPr>
            <w:tcW w:w="9212" w:type="dxa"/>
          </w:tcPr>
          <w:p w:rsidR="000028F2" w:rsidRDefault="000028F2" w:rsidP="000028F2">
            <w:pPr>
              <w:pStyle w:val="Obrzek"/>
            </w:pPr>
            <w:bookmarkStart w:id="50" w:name="_Ref57216308"/>
            <w:r>
              <w:t xml:space="preserve">Graf </w:t>
            </w:r>
            <w:fldSimple w:instr=" SEQ Graf \* ARABIC ">
              <w:r w:rsidR="00816426">
                <w:rPr>
                  <w:noProof/>
                </w:rPr>
                <w:t>17</w:t>
              </w:r>
            </w:fldSimple>
            <w:bookmarkEnd w:id="50"/>
            <w:r>
              <w:t xml:space="preserve"> Průběh spotřeby elektrické energie (neděle 21. 7. 2019)</w:t>
            </w:r>
          </w:p>
        </w:tc>
      </w:tr>
      <w:tr w:rsidR="000028F2" w:rsidTr="00573F53">
        <w:tc>
          <w:tcPr>
            <w:tcW w:w="9212" w:type="dxa"/>
          </w:tcPr>
          <w:p w:rsidR="000028F2" w:rsidRDefault="00573F53" w:rsidP="000028F2">
            <w:pPr>
              <w:keepNext/>
            </w:pPr>
            <w:r>
              <w:rPr>
                <w:noProof/>
                <w:lang w:eastAsia="cs-CZ"/>
              </w:rPr>
              <w:drawing>
                <wp:inline distT="0" distB="0" distL="0" distR="0" wp14:anchorId="57DEE5A0" wp14:editId="1D1C0EA2">
                  <wp:extent cx="5760000" cy="3240000"/>
                  <wp:effectExtent l="0" t="0" r="0" b="0"/>
                  <wp:docPr id="56" name="Graf 56">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r w:rsidR="000028F2" w:rsidTr="00573F53">
        <w:tblPrEx>
          <w:tblCellMar>
            <w:left w:w="108" w:type="dxa"/>
            <w:right w:w="108" w:type="dxa"/>
          </w:tblCellMar>
        </w:tblPrEx>
        <w:tc>
          <w:tcPr>
            <w:tcW w:w="9212" w:type="dxa"/>
          </w:tcPr>
          <w:p w:rsidR="000028F2" w:rsidRPr="000028F2" w:rsidRDefault="000028F2" w:rsidP="000028F2">
            <w:pPr>
              <w:pStyle w:val="Obrzek"/>
              <w:keepNext w:val="0"/>
            </w:pPr>
            <w:bookmarkStart w:id="51" w:name="_Ref57216318"/>
            <w:r>
              <w:t xml:space="preserve">Graf </w:t>
            </w:r>
            <w:fldSimple w:instr=" SEQ Graf \* ARABIC ">
              <w:r w:rsidR="00816426">
                <w:rPr>
                  <w:noProof/>
                </w:rPr>
                <w:t>18</w:t>
              </w:r>
            </w:fldSimple>
            <w:bookmarkEnd w:id="51"/>
            <w:r>
              <w:t xml:space="preserve"> Průběh spotřeby elektrické energie (pondělí 22. 7. 2019)</w:t>
            </w:r>
          </w:p>
        </w:tc>
      </w:tr>
    </w:tbl>
    <w:p w:rsidR="00D82225" w:rsidRPr="00594F2C" w:rsidRDefault="00A42A0F" w:rsidP="00594F2C">
      <w:r>
        <w:t xml:space="preserve">Z grafů je patrný poměrně značný rozdíl v odběru elektrické energie mezi pracovní dobou a </w:t>
      </w:r>
      <w:r w:rsidR="00D314ED">
        <w:t xml:space="preserve">ostatními časy (noc, víkendy). </w:t>
      </w:r>
      <w:r w:rsidR="00DE53F1">
        <w:t xml:space="preserve">Během pracovní doby je odběr elektrické energie přibližně trojnásobný oproti zbylým časům. </w:t>
      </w:r>
      <w:r w:rsidR="00D314ED">
        <w:t>Lze také konstatovat to, že okamžitá spotřeba elektrické energie budovy neklesne ani při „nulové“ obsazenosti pod 300 kW, což bude zohledněno při návrhu kogenerační jednotky.</w:t>
      </w:r>
    </w:p>
    <w:p w:rsidR="007B2339" w:rsidRDefault="006A206F" w:rsidP="007B2339">
      <w:pPr>
        <w:pStyle w:val="Nadpis1"/>
      </w:pPr>
      <w:bookmarkStart w:id="52" w:name="_Toc58949348"/>
      <w:r>
        <w:t>POPIS PROJEKTU A JEHO AKTIVIT / ETAP</w:t>
      </w:r>
      <w:bookmarkEnd w:id="52"/>
    </w:p>
    <w:p w:rsidR="00914F1B" w:rsidRDefault="00914F1B" w:rsidP="00914F1B">
      <w:r>
        <w:t>Součástí obou variant je instalace kogenerační jednotky. Kritéria pro výběr velikosti a typu kogenerační jednotky</w:t>
      </w:r>
      <w:r w:rsidR="00960968">
        <w:t xml:space="preserve"> jsou následující:</w:t>
      </w:r>
    </w:p>
    <w:p w:rsidR="00960968" w:rsidRPr="005718EC" w:rsidRDefault="00960968" w:rsidP="00960968">
      <w:pPr>
        <w:pStyle w:val="Nadpis3"/>
      </w:pPr>
      <w:bookmarkStart w:id="53" w:name="_Toc58949349"/>
      <w:r>
        <w:t>Nároky na emisní limity (KGJ)</w:t>
      </w:r>
      <w:bookmarkEnd w:id="53"/>
    </w:p>
    <w:p w:rsidR="00960968" w:rsidRDefault="00960968" w:rsidP="00960968">
      <w:r>
        <w:t xml:space="preserve">Emisní limity kogenerační jednotky určuje Metodický pokyn k povolování kogeneračních jednotek na území hl. m. Prahy (viz </w:t>
      </w:r>
      <w:r>
        <w:fldChar w:fldCharType="begin"/>
      </w:r>
      <w:r>
        <w:instrText xml:space="preserve"> REF _Ref56065056 \h </w:instrText>
      </w:r>
      <w:r>
        <w:fldChar w:fldCharType="separate"/>
      </w:r>
      <w:r w:rsidR="00816426" w:rsidRPr="002410EE">
        <w:t xml:space="preserve">Příloha č. </w:t>
      </w:r>
      <w:r w:rsidR="00816426">
        <w:rPr>
          <w:noProof/>
        </w:rPr>
        <w:t>1</w:t>
      </w:r>
      <w:r>
        <w:fldChar w:fldCharType="end"/>
      </w:r>
      <w:r>
        <w:t>).</w:t>
      </w:r>
    </w:p>
    <w:p w:rsidR="00960968" w:rsidRDefault="00960968" w:rsidP="00960968">
      <w:r>
        <w:t>Prvním obecným omezením přípustnosti instalace kogenerační jednotky je to, že zařízení je možné na území Prahy umisťovat jen v takových místech, ve kterých na základě dat z aktuálně platných map klouzavých pětiletých průměrů imisních koncentrací (ČHMÚ), kvalita ovzduší definovaná modelově vypočtenou průměrnou roční koncentrací oxidu dusičitého (NO</w:t>
      </w:r>
      <w:r w:rsidRPr="00DC2F9E">
        <w:rPr>
          <w:vertAlign w:val="subscript"/>
        </w:rPr>
        <w:t>2</w:t>
      </w:r>
      <w:r>
        <w:t xml:space="preserve">) nepřekračuje 75 % ročního imisního limitu dle platných právních předpisů. </w:t>
      </w:r>
    </w:p>
    <w:p w:rsidR="00960968" w:rsidRPr="00DF47A3" w:rsidRDefault="00960968" w:rsidP="00960968">
      <w:pPr>
        <w:rPr>
          <w:rFonts w:cs="Arial"/>
        </w:rPr>
      </w:pPr>
      <w:r>
        <w:t>Roční imisní limit NO</w:t>
      </w:r>
      <w:r w:rsidRPr="005E78FF">
        <w:rPr>
          <w:vertAlign w:val="subscript"/>
        </w:rPr>
        <w:t>2</w:t>
      </w:r>
      <w:r>
        <w:t xml:space="preserve"> pro ochranu zdraví dle portálu Českého hydrometeorologického ústavu činí 40 </w:t>
      </w:r>
      <w:r>
        <w:rPr>
          <w:rFonts w:cs="Arial"/>
        </w:rPr>
        <w:t>µ</w:t>
      </w:r>
      <w:r>
        <w:t>g</w:t>
      </w:r>
      <w:r>
        <w:rPr>
          <w:rFonts w:cs="Arial"/>
        </w:rPr>
        <w:t>·m</w:t>
      </w:r>
      <w:r w:rsidRPr="005E78FF">
        <w:rPr>
          <w:rFonts w:cs="Arial"/>
          <w:vertAlign w:val="superscript"/>
        </w:rPr>
        <w:t>-3</w:t>
      </w:r>
      <w:r>
        <w:rPr>
          <w:rFonts w:cs="Arial"/>
        </w:rPr>
        <w:t xml:space="preserve"> </w:t>
      </w:r>
      <w:r>
        <w:rPr>
          <w:rFonts w:cs="Arial"/>
          <w:lang w:val="en-US"/>
        </w:rPr>
        <w:t>[5]</w:t>
      </w:r>
      <w:r>
        <w:rPr>
          <w:rFonts w:cs="Arial"/>
        </w:rPr>
        <w:t xml:space="preserve">. </w:t>
      </w:r>
      <w:r w:rsidRPr="00583452">
        <w:rPr>
          <w:rFonts w:cs="Arial"/>
        </w:rPr>
        <w:t>Přitom v oblasti, ve které se Česká národní banka nachází, se roční průměr NO2 v pětiletém období 2015–2019 drží na úrovni 33,1 µ</w:t>
      </w:r>
      <w:r w:rsidRPr="00583452">
        <w:t>g</w:t>
      </w:r>
      <w:r w:rsidRPr="00583452">
        <w:rPr>
          <w:rFonts w:cs="Arial"/>
        </w:rPr>
        <w:t>·m</w:t>
      </w:r>
      <w:r w:rsidRPr="00583452">
        <w:rPr>
          <w:rFonts w:cs="Arial"/>
          <w:vertAlign w:val="superscript"/>
        </w:rPr>
        <w:t>-3</w:t>
      </w:r>
      <w:r w:rsidRPr="00583452">
        <w:rPr>
          <w:rFonts w:cs="Arial"/>
        </w:rPr>
        <w:t xml:space="preserve"> (viz </w:t>
      </w:r>
      <w:r w:rsidRPr="00583452">
        <w:rPr>
          <w:rFonts w:cs="Arial"/>
        </w:rPr>
        <w:fldChar w:fldCharType="begin"/>
      </w:r>
      <w:r w:rsidRPr="00583452">
        <w:rPr>
          <w:rFonts w:cs="Arial"/>
        </w:rPr>
        <w:instrText xml:space="preserve"> REF _Ref56341871 \h  \* MERGEFORMAT </w:instrText>
      </w:r>
      <w:r w:rsidRPr="00583452">
        <w:rPr>
          <w:rFonts w:cs="Arial"/>
        </w:rPr>
      </w:r>
      <w:r w:rsidRPr="00583452">
        <w:rPr>
          <w:rFonts w:cs="Arial"/>
        </w:rPr>
        <w:fldChar w:fldCharType="separate"/>
      </w:r>
      <w:r w:rsidR="00816426">
        <w:t xml:space="preserve">Obr. </w:t>
      </w:r>
      <w:r w:rsidR="00816426">
        <w:rPr>
          <w:noProof/>
        </w:rPr>
        <w:t>5</w:t>
      </w:r>
      <w:r w:rsidRPr="00583452">
        <w:rPr>
          <w:rFonts w:cs="Arial"/>
        </w:rPr>
        <w:fldChar w:fldCharType="end"/>
      </w:r>
      <w:r w:rsidRPr="00583452">
        <w:rPr>
          <w:rFonts w:cs="Arial"/>
        </w:rPr>
        <w:t>), což je přibližně 82,8 % hodnoty imisního limitu.</w:t>
      </w:r>
      <w:r>
        <w:rPr>
          <w:rFonts w:cs="Arial"/>
          <w:b/>
        </w:rPr>
        <w:t xml:space="preserve"> To znamená, že v oblasti nelze umístit kogenerační jednotku vyjma situace, kdy po instalaci nedojde k překročení emisního stropu, tj. celkové roční emise NO</w:t>
      </w:r>
      <w:r w:rsidRPr="00DF47A3">
        <w:rPr>
          <w:rFonts w:cs="Arial"/>
          <w:b/>
          <w:vertAlign w:val="subscript"/>
        </w:rPr>
        <w:t>X</w:t>
      </w:r>
      <w:r>
        <w:rPr>
          <w:rFonts w:cs="Arial"/>
          <w:b/>
        </w:rPr>
        <w:t xml:space="preserve"> budou po instalaci KGJ stejné nebo nižší, než tomu bylo před instalací.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9"/>
        <w:gridCol w:w="3269"/>
      </w:tblGrid>
      <w:tr w:rsidR="00960968" w:rsidTr="00960968">
        <w:tc>
          <w:tcPr>
            <w:tcW w:w="6208" w:type="dxa"/>
          </w:tcPr>
          <w:p w:rsidR="00960968" w:rsidRPr="00CD4BF1" w:rsidRDefault="00960968" w:rsidP="00960968">
            <w:pPr>
              <w:keepNext/>
              <w:jc w:val="center"/>
            </w:pPr>
            <w:r>
              <w:rPr>
                <w:rFonts w:cs="Arial"/>
                <w:noProof/>
                <w:lang w:eastAsia="cs-CZ"/>
              </w:rPr>
              <w:drawing>
                <wp:inline distT="0" distB="0" distL="0" distR="0" wp14:anchorId="586A18B8" wp14:editId="794329B3">
                  <wp:extent cx="3752850" cy="3446073"/>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LOUZAVÝ_PRŮMĚR_NO2.png"/>
                          <pic:cNvPicPr/>
                        </pic:nvPicPr>
                        <pic:blipFill rotWithShape="1">
                          <a:blip r:embed="rId34" cstate="print">
                            <a:extLst>
                              <a:ext uri="{28A0092B-C50C-407E-A947-70E740481C1C}">
                                <a14:useLocalDpi xmlns:a14="http://schemas.microsoft.com/office/drawing/2010/main" val="0"/>
                              </a:ext>
                            </a:extLst>
                          </a:blip>
                          <a:srcRect l="1614"/>
                          <a:stretch/>
                        </pic:blipFill>
                        <pic:spPr bwMode="auto">
                          <a:xfrm>
                            <a:off x="0" y="0"/>
                            <a:ext cx="3760795" cy="3453368"/>
                          </a:xfrm>
                          <a:prstGeom prst="rect">
                            <a:avLst/>
                          </a:prstGeom>
                          <a:ln>
                            <a:noFill/>
                          </a:ln>
                          <a:extLst>
                            <a:ext uri="{53640926-AAD7-44D8-BBD7-CCE9431645EC}">
                              <a14:shadowObscured xmlns:a14="http://schemas.microsoft.com/office/drawing/2010/main"/>
                            </a:ext>
                          </a:extLst>
                        </pic:spPr>
                      </pic:pic>
                    </a:graphicData>
                  </a:graphic>
                </wp:inline>
              </w:drawing>
            </w:r>
          </w:p>
        </w:tc>
        <w:tc>
          <w:tcPr>
            <w:tcW w:w="3080" w:type="dxa"/>
            <w:vAlign w:val="center"/>
          </w:tcPr>
          <w:p w:rsidR="00960968" w:rsidRDefault="00960968" w:rsidP="00960968">
            <w:pPr>
              <w:keepNext/>
              <w:jc w:val="center"/>
              <w:rPr>
                <w:rFonts w:cs="Arial"/>
                <w:noProof/>
                <w:lang w:eastAsia="cs-CZ"/>
              </w:rPr>
            </w:pPr>
            <w:r>
              <w:rPr>
                <w:noProof/>
                <w:lang w:eastAsia="cs-CZ"/>
              </w:rPr>
              <w:drawing>
                <wp:inline distT="0" distB="0" distL="0" distR="0" wp14:anchorId="20A3B695" wp14:editId="43A04407">
                  <wp:extent cx="1975104" cy="1797232"/>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16692" cy="1835075"/>
                          </a:xfrm>
                          <a:prstGeom prst="rect">
                            <a:avLst/>
                          </a:prstGeom>
                        </pic:spPr>
                      </pic:pic>
                    </a:graphicData>
                  </a:graphic>
                </wp:inline>
              </w:drawing>
            </w:r>
          </w:p>
        </w:tc>
      </w:tr>
      <w:tr w:rsidR="00960968" w:rsidTr="00960968">
        <w:tc>
          <w:tcPr>
            <w:tcW w:w="9288" w:type="dxa"/>
            <w:gridSpan w:val="2"/>
          </w:tcPr>
          <w:p w:rsidR="00960968" w:rsidRDefault="00960968" w:rsidP="00960968">
            <w:pPr>
              <w:pStyle w:val="Obrzek"/>
              <w:keepNext w:val="0"/>
            </w:pPr>
            <w:bookmarkStart w:id="54" w:name="_Ref56341871"/>
            <w:r>
              <w:t xml:space="preserve">Obr. </w:t>
            </w:r>
            <w:fldSimple w:instr=" SEQ Obr. \* ARABIC ">
              <w:r w:rsidR="00816426">
                <w:rPr>
                  <w:noProof/>
                </w:rPr>
                <w:t>5</w:t>
              </w:r>
            </w:fldSimple>
            <w:bookmarkEnd w:id="54"/>
            <w:r>
              <w:t xml:space="preserve"> Pětiletý průměr roční koncentrace NO</w:t>
            </w:r>
            <w:r w:rsidRPr="00601CA1">
              <w:rPr>
                <w:vertAlign w:val="subscript"/>
              </w:rPr>
              <w:t>2</w:t>
            </w:r>
            <w:r>
              <w:t xml:space="preserve"> v ovzduší hl. m. Prahy </w:t>
            </w:r>
            <w:r>
              <w:rPr>
                <w:lang w:val="en-US"/>
              </w:rPr>
              <w:t>[7]</w:t>
            </w:r>
          </w:p>
        </w:tc>
      </w:tr>
    </w:tbl>
    <w:p w:rsidR="00960968" w:rsidRDefault="00960968" w:rsidP="00960968">
      <w:r w:rsidRPr="00826A3D">
        <w:t>K</w:t>
      </w:r>
      <w:r>
        <w:t>romě emisních limitů NO</w:t>
      </w:r>
      <w:r w:rsidRPr="00826A3D">
        <w:rPr>
          <w:vertAlign w:val="subscript"/>
        </w:rPr>
        <w:t>2</w:t>
      </w:r>
      <w:r>
        <w:t xml:space="preserve"> musí být dle metodického pokynu splněny limity dalších látek (viz </w:t>
      </w:r>
      <w:r>
        <w:fldChar w:fldCharType="begin"/>
      </w:r>
      <w:r>
        <w:instrText xml:space="preserve"> REF _Ref56082774 \h </w:instrText>
      </w:r>
      <w:r>
        <w:fldChar w:fldCharType="separate"/>
      </w:r>
      <w:r w:rsidR="00816426">
        <w:t xml:space="preserve">Tab. </w:t>
      </w:r>
      <w:r w:rsidR="00816426">
        <w:rPr>
          <w:noProof/>
        </w:rPr>
        <w:t>5</w:t>
      </w:r>
      <w:r>
        <w:fldChar w:fldCharType="end"/>
      </w:r>
      <w:r>
        <w:t>).</w:t>
      </w:r>
    </w:p>
    <w:p w:rsidR="00960968" w:rsidRDefault="00960968" w:rsidP="00960968">
      <w:pPr>
        <w:pStyle w:val="Tabulka"/>
      </w:pPr>
      <w:bookmarkStart w:id="55" w:name="_Ref56082774"/>
      <w:r>
        <w:t xml:space="preserve">Tab. </w:t>
      </w:r>
      <w:fldSimple w:instr=" SEQ Tab. \* ARABIC ">
        <w:r w:rsidR="00816426">
          <w:rPr>
            <w:noProof/>
          </w:rPr>
          <w:t>5</w:t>
        </w:r>
      </w:fldSimple>
      <w:bookmarkEnd w:id="55"/>
      <w:r>
        <w:t xml:space="preserve"> Specifické limity škodlivin definované pro normální stavové podmínky (teplota spalin 0 °C, tlak 101,325 kPa), suchý plyn, 5 % kyslíku ve spalinách (podrobněji v </w:t>
      </w:r>
      <w:r>
        <w:fldChar w:fldCharType="begin"/>
      </w:r>
      <w:r>
        <w:instrText xml:space="preserve"> REF _Ref56065056 \h </w:instrText>
      </w:r>
      <w:r>
        <w:fldChar w:fldCharType="separate"/>
      </w:r>
      <w:r w:rsidR="00816426" w:rsidRPr="002410EE">
        <w:t xml:space="preserve">Příloha č. </w:t>
      </w:r>
      <w:r w:rsidR="00816426">
        <w:rPr>
          <w:noProof/>
        </w:rPr>
        <w:t>1</w:t>
      </w:r>
      <w:r>
        <w:fldChar w:fldCharType="end"/>
      </w:r>
      <w:r>
        <w:t>)</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686"/>
      </w:tblGrid>
      <w:tr w:rsidR="00960968" w:rsidTr="00960968">
        <w:trPr>
          <w:trHeight w:val="397"/>
        </w:trPr>
        <w:tc>
          <w:tcPr>
            <w:tcW w:w="1526" w:type="dxa"/>
            <w:tcBorders>
              <w:top w:val="single" w:sz="12" w:space="0" w:color="auto"/>
              <w:bottom w:val="single" w:sz="4" w:space="0" w:color="auto"/>
            </w:tcBorders>
            <w:vAlign w:val="center"/>
          </w:tcPr>
          <w:p w:rsidR="00960968" w:rsidRDefault="00960968" w:rsidP="00960968">
            <w:pPr>
              <w:keepNext/>
              <w:spacing w:before="0" w:after="0"/>
              <w:jc w:val="left"/>
            </w:pPr>
            <w:r>
              <w:t>Látka</w:t>
            </w:r>
          </w:p>
        </w:tc>
        <w:tc>
          <w:tcPr>
            <w:tcW w:w="7686" w:type="dxa"/>
            <w:tcBorders>
              <w:top w:val="single" w:sz="12" w:space="0" w:color="auto"/>
              <w:bottom w:val="single" w:sz="4" w:space="0" w:color="auto"/>
            </w:tcBorders>
            <w:vAlign w:val="center"/>
          </w:tcPr>
          <w:p w:rsidR="00960968" w:rsidRPr="00826A3D" w:rsidRDefault="00960968" w:rsidP="00960968">
            <w:pPr>
              <w:keepNext/>
              <w:spacing w:before="0" w:after="0"/>
              <w:jc w:val="left"/>
            </w:pPr>
            <w:r>
              <w:t xml:space="preserve">Maximální přípustná hmotnostní koncentrace látky ve spalinách </w:t>
            </w:r>
            <w:r>
              <w:rPr>
                <w:lang w:val="en-US"/>
              </w:rPr>
              <w:t>[</w:t>
            </w:r>
            <w:r>
              <w:rPr>
                <w:rFonts w:cs="Arial"/>
              </w:rPr>
              <w:t>m</w:t>
            </w:r>
            <w:r>
              <w:t>g</w:t>
            </w:r>
            <w:r>
              <w:rPr>
                <w:rFonts w:cs="Arial"/>
              </w:rPr>
              <w:t>·Nm</w:t>
            </w:r>
            <w:r w:rsidRPr="005E78FF">
              <w:rPr>
                <w:rFonts w:cs="Arial"/>
                <w:vertAlign w:val="superscript"/>
              </w:rPr>
              <w:t>-3</w:t>
            </w:r>
            <w:r>
              <w:rPr>
                <w:lang w:val="en-US"/>
              </w:rPr>
              <w:t>]</w:t>
            </w:r>
          </w:p>
        </w:tc>
      </w:tr>
      <w:tr w:rsidR="00960968" w:rsidTr="00960968">
        <w:trPr>
          <w:trHeight w:val="397"/>
        </w:trPr>
        <w:tc>
          <w:tcPr>
            <w:tcW w:w="1526" w:type="dxa"/>
            <w:tcBorders>
              <w:top w:val="single" w:sz="4" w:space="0" w:color="auto"/>
            </w:tcBorders>
            <w:vAlign w:val="center"/>
          </w:tcPr>
          <w:p w:rsidR="00960968" w:rsidRDefault="00960968" w:rsidP="00960968">
            <w:pPr>
              <w:keepNext/>
              <w:spacing w:before="0" w:after="0"/>
              <w:jc w:val="left"/>
            </w:pPr>
            <w:r>
              <w:t>HCHO</w:t>
            </w:r>
          </w:p>
        </w:tc>
        <w:tc>
          <w:tcPr>
            <w:tcW w:w="7686" w:type="dxa"/>
            <w:tcBorders>
              <w:top w:val="single" w:sz="4" w:space="0" w:color="auto"/>
            </w:tcBorders>
            <w:vAlign w:val="center"/>
          </w:tcPr>
          <w:p w:rsidR="00960968" w:rsidRPr="00826A3D" w:rsidRDefault="00960968" w:rsidP="00960968">
            <w:pPr>
              <w:keepNext/>
              <w:spacing w:before="0" w:after="0"/>
              <w:jc w:val="left"/>
            </w:pPr>
            <w:r>
              <w:t>20</w:t>
            </w:r>
          </w:p>
        </w:tc>
      </w:tr>
      <w:tr w:rsidR="00960968" w:rsidTr="00960968">
        <w:trPr>
          <w:trHeight w:val="397"/>
        </w:trPr>
        <w:tc>
          <w:tcPr>
            <w:tcW w:w="1526" w:type="dxa"/>
            <w:vAlign w:val="center"/>
          </w:tcPr>
          <w:p w:rsidR="00960968" w:rsidRDefault="00960968" w:rsidP="00960968">
            <w:pPr>
              <w:keepNext/>
              <w:spacing w:before="0" w:after="0"/>
              <w:jc w:val="left"/>
            </w:pPr>
            <w:r>
              <w:t>CO</w:t>
            </w:r>
          </w:p>
        </w:tc>
        <w:tc>
          <w:tcPr>
            <w:tcW w:w="7686" w:type="dxa"/>
            <w:vAlign w:val="center"/>
          </w:tcPr>
          <w:p w:rsidR="00960968" w:rsidRDefault="00960968" w:rsidP="00960968">
            <w:pPr>
              <w:keepNext/>
              <w:spacing w:before="0" w:after="0"/>
              <w:jc w:val="left"/>
            </w:pPr>
            <w:r>
              <w:t>200</w:t>
            </w:r>
          </w:p>
        </w:tc>
      </w:tr>
      <w:tr w:rsidR="00960968" w:rsidTr="00960968">
        <w:trPr>
          <w:trHeight w:val="397"/>
        </w:trPr>
        <w:tc>
          <w:tcPr>
            <w:tcW w:w="1526" w:type="dxa"/>
            <w:vAlign w:val="center"/>
          </w:tcPr>
          <w:p w:rsidR="00960968" w:rsidRDefault="00960968" w:rsidP="00960968">
            <w:pPr>
              <w:keepNext/>
              <w:spacing w:before="0" w:after="0"/>
              <w:jc w:val="left"/>
            </w:pPr>
            <w:r>
              <w:t>NH</w:t>
            </w:r>
            <w:r w:rsidRPr="00826A3D">
              <w:rPr>
                <w:vertAlign w:val="subscript"/>
              </w:rPr>
              <w:t>3</w:t>
            </w:r>
          </w:p>
        </w:tc>
        <w:tc>
          <w:tcPr>
            <w:tcW w:w="7686" w:type="dxa"/>
            <w:vAlign w:val="center"/>
          </w:tcPr>
          <w:p w:rsidR="00960968" w:rsidRDefault="00960968" w:rsidP="00960968">
            <w:pPr>
              <w:keepNext/>
              <w:spacing w:before="0" w:after="0"/>
              <w:jc w:val="left"/>
            </w:pPr>
            <w:r>
              <w:t>30</w:t>
            </w:r>
          </w:p>
        </w:tc>
      </w:tr>
      <w:tr w:rsidR="00960968" w:rsidTr="00960968">
        <w:trPr>
          <w:trHeight w:val="397"/>
        </w:trPr>
        <w:tc>
          <w:tcPr>
            <w:tcW w:w="9212" w:type="dxa"/>
            <w:gridSpan w:val="2"/>
            <w:vAlign w:val="center"/>
          </w:tcPr>
          <w:p w:rsidR="00960968" w:rsidRDefault="00960968" w:rsidP="00960968">
            <w:pPr>
              <w:keepNext/>
              <w:spacing w:before="0" w:after="0"/>
              <w:jc w:val="left"/>
            </w:pPr>
            <w:r>
              <w:t>Doporučené limity:</w:t>
            </w:r>
          </w:p>
        </w:tc>
      </w:tr>
      <w:tr w:rsidR="00960968" w:rsidTr="00960968">
        <w:trPr>
          <w:trHeight w:val="397"/>
        </w:trPr>
        <w:tc>
          <w:tcPr>
            <w:tcW w:w="1526" w:type="dxa"/>
            <w:vAlign w:val="center"/>
          </w:tcPr>
          <w:p w:rsidR="00960968" w:rsidRDefault="00960968" w:rsidP="00960968">
            <w:pPr>
              <w:keepNext/>
              <w:spacing w:before="0" w:after="0"/>
              <w:jc w:val="left"/>
            </w:pPr>
            <w:r>
              <w:t>TOC</w:t>
            </w:r>
          </w:p>
        </w:tc>
        <w:tc>
          <w:tcPr>
            <w:tcW w:w="7686" w:type="dxa"/>
            <w:vAlign w:val="center"/>
          </w:tcPr>
          <w:p w:rsidR="00960968" w:rsidRDefault="00960968" w:rsidP="00960968">
            <w:pPr>
              <w:keepNext/>
              <w:spacing w:before="0" w:after="0"/>
              <w:jc w:val="left"/>
            </w:pPr>
            <w:r>
              <w:t>pro motory s chudou směsí 1300, pro motory se stechiometrickým spalováním 300</w:t>
            </w:r>
          </w:p>
        </w:tc>
      </w:tr>
      <w:tr w:rsidR="00960968" w:rsidTr="00960968">
        <w:trPr>
          <w:trHeight w:val="397"/>
        </w:trPr>
        <w:tc>
          <w:tcPr>
            <w:tcW w:w="1526" w:type="dxa"/>
            <w:vAlign w:val="center"/>
          </w:tcPr>
          <w:p w:rsidR="00960968" w:rsidRDefault="00960968" w:rsidP="00960968">
            <w:pPr>
              <w:spacing w:before="0" w:after="0"/>
              <w:jc w:val="left"/>
            </w:pPr>
            <w:r>
              <w:t>TOC</w:t>
            </w:r>
            <w:r w:rsidRPr="00826A3D">
              <w:rPr>
                <w:vertAlign w:val="subscript"/>
              </w:rPr>
              <w:t>NM</w:t>
            </w:r>
          </w:p>
        </w:tc>
        <w:tc>
          <w:tcPr>
            <w:tcW w:w="7686" w:type="dxa"/>
            <w:vAlign w:val="center"/>
          </w:tcPr>
          <w:p w:rsidR="00960968" w:rsidRDefault="00960968" w:rsidP="00960968">
            <w:pPr>
              <w:spacing w:before="0" w:after="0"/>
              <w:jc w:val="left"/>
            </w:pPr>
            <w:r>
              <w:t>150</w:t>
            </w:r>
          </w:p>
        </w:tc>
      </w:tr>
    </w:tbl>
    <w:p w:rsidR="00960968" w:rsidRDefault="00960968" w:rsidP="00960968">
      <w:pPr>
        <w:pStyle w:val="Nadpis3"/>
      </w:pPr>
      <w:bookmarkStart w:id="56" w:name="_Toc58949350"/>
      <w:r w:rsidRPr="00960968">
        <w:t>Nároky</w:t>
      </w:r>
      <w:r>
        <w:t xml:space="preserve"> na prostor pro nastěhování (KGJ)</w:t>
      </w:r>
      <w:bookmarkEnd w:id="56"/>
    </w:p>
    <w:p w:rsidR="00960968" w:rsidRDefault="00960968" w:rsidP="00960968">
      <w:r w:rsidRPr="00336D4C">
        <w:t xml:space="preserve">Možnosti dopravy KGJ jsou z důvodu ztížených pracovních podmínek omezeny. K dispozici je </w:t>
      </w:r>
      <w:r>
        <w:t>montážní</w:t>
      </w:r>
      <w:r w:rsidRPr="00336D4C">
        <w:t xml:space="preserve"> otvor </w:t>
      </w:r>
      <w:r>
        <w:t xml:space="preserve">vedoucí do prostoru kotelny o rozměrech 2,4 × 2,4 m </w:t>
      </w:r>
      <w:r w:rsidRPr="00336D4C">
        <w:t xml:space="preserve">v prvním suterénu (1S) – </w:t>
      </w:r>
      <w:r w:rsidRPr="00E37677">
        <w:t xml:space="preserve">viz </w:t>
      </w:r>
      <w:r w:rsidRPr="00E37677">
        <w:fldChar w:fldCharType="begin"/>
      </w:r>
      <w:r w:rsidRPr="00E37677">
        <w:instrText xml:space="preserve"> REF _Ref56063860 \h </w:instrText>
      </w:r>
      <w:r>
        <w:instrText xml:space="preserve"> \* MERGEFORMAT </w:instrText>
      </w:r>
      <w:r w:rsidRPr="00E37677">
        <w:fldChar w:fldCharType="separate"/>
      </w:r>
      <w:r w:rsidR="00816426">
        <w:t xml:space="preserve">Obr. </w:t>
      </w:r>
      <w:r w:rsidR="00816426">
        <w:rPr>
          <w:noProof/>
        </w:rPr>
        <w:t>6</w:t>
      </w:r>
      <w:r w:rsidRPr="00E37677">
        <w:fldChar w:fldCharType="end"/>
      </w:r>
      <w:r w:rsidRPr="00336D4C">
        <w:t>.</w:t>
      </w:r>
      <w:r>
        <w:t xml:space="preserve"> Dalším montážním otvorem, který byl vyhodnocen, je montážní</w:t>
      </w:r>
      <w:r w:rsidRPr="00336D4C">
        <w:t xml:space="preserve"> </w:t>
      </w:r>
      <w:r>
        <w:t xml:space="preserve">otvor v pasáži o vnějších rozměrech 2,4 × 1,85 m – </w:t>
      </w:r>
      <w:r w:rsidRPr="00E37677">
        <w:t xml:space="preserve">viz </w:t>
      </w:r>
      <w:r w:rsidRPr="00E37677">
        <w:fldChar w:fldCharType="begin"/>
      </w:r>
      <w:r w:rsidRPr="00E37677">
        <w:instrText xml:space="preserve"> REF _Ref56063877 \h </w:instrText>
      </w:r>
      <w:r>
        <w:instrText xml:space="preserve"> \* MERGEFORMAT </w:instrText>
      </w:r>
      <w:r w:rsidRPr="00E37677">
        <w:fldChar w:fldCharType="separate"/>
      </w:r>
      <w:r w:rsidR="00816426">
        <w:t xml:space="preserve">Obr. </w:t>
      </w:r>
      <w:r w:rsidR="00816426">
        <w:rPr>
          <w:noProof/>
        </w:rPr>
        <w:t>7</w:t>
      </w:r>
      <w:r w:rsidRPr="00E37677">
        <w:fldChar w:fldCharType="end"/>
      </w:r>
      <w:r>
        <w:t>. Otvor v pasáži je menší než v garáži, proto s ním v dalším postupu není počítáno.</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960968" w:rsidTr="00960968">
        <w:tc>
          <w:tcPr>
            <w:tcW w:w="9212" w:type="dxa"/>
          </w:tcPr>
          <w:p w:rsidR="00960968" w:rsidRDefault="00960968" w:rsidP="00960968">
            <w:pPr>
              <w:keepNext/>
              <w:jc w:val="center"/>
            </w:pPr>
            <w:r>
              <w:rPr>
                <w:noProof/>
                <w:lang w:eastAsia="cs-CZ"/>
              </w:rPr>
              <w:drawing>
                <wp:inline distT="0" distB="0" distL="0" distR="0" wp14:anchorId="765E8879" wp14:editId="23A6722F">
                  <wp:extent cx="4680000" cy="2922423"/>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ONTÁŽNÍ_OTVOR.JPG"/>
                          <pic:cNvPicPr/>
                        </pic:nvPicPr>
                        <pic:blipFill rotWithShape="1">
                          <a:blip r:embed="rId36" cstate="print">
                            <a:extLst>
                              <a:ext uri="{28A0092B-C50C-407E-A947-70E740481C1C}">
                                <a14:useLocalDpi xmlns:a14="http://schemas.microsoft.com/office/drawing/2010/main" val="0"/>
                              </a:ext>
                            </a:extLst>
                          </a:blip>
                          <a:srcRect l="9921"/>
                          <a:stretch/>
                        </pic:blipFill>
                        <pic:spPr bwMode="auto">
                          <a:xfrm>
                            <a:off x="0" y="0"/>
                            <a:ext cx="4680000" cy="2922423"/>
                          </a:xfrm>
                          <a:prstGeom prst="rect">
                            <a:avLst/>
                          </a:prstGeom>
                          <a:ln>
                            <a:noFill/>
                          </a:ln>
                          <a:extLst>
                            <a:ext uri="{53640926-AAD7-44D8-BBD7-CCE9431645EC}">
                              <a14:shadowObscured xmlns:a14="http://schemas.microsoft.com/office/drawing/2010/main"/>
                            </a:ext>
                          </a:extLst>
                        </pic:spPr>
                      </pic:pic>
                    </a:graphicData>
                  </a:graphic>
                </wp:inline>
              </w:drawing>
            </w:r>
          </w:p>
        </w:tc>
      </w:tr>
      <w:tr w:rsidR="00960968" w:rsidTr="00960968">
        <w:tc>
          <w:tcPr>
            <w:tcW w:w="9212" w:type="dxa"/>
          </w:tcPr>
          <w:p w:rsidR="00960968" w:rsidRDefault="00960968" w:rsidP="00960968">
            <w:pPr>
              <w:pStyle w:val="Obrzek"/>
              <w:keepNext w:val="0"/>
            </w:pPr>
            <w:bookmarkStart w:id="57" w:name="_Ref56063860"/>
            <w:r>
              <w:t xml:space="preserve">Obr. </w:t>
            </w:r>
            <w:fldSimple w:instr=" SEQ Obr. \* ARABIC ">
              <w:r w:rsidR="00816426">
                <w:rPr>
                  <w:noProof/>
                </w:rPr>
                <w:t>6</w:t>
              </w:r>
            </w:fldSimple>
            <w:bookmarkEnd w:id="57"/>
            <w:r>
              <w:t xml:space="preserve"> Montážní otvor, kterým je možné dopravit zařízení do kotelny (foto Bres spol. s r. o.)</w:t>
            </w:r>
          </w:p>
        </w:tc>
      </w:tr>
      <w:tr w:rsidR="00960968" w:rsidTr="00960968">
        <w:tc>
          <w:tcPr>
            <w:tcW w:w="9212" w:type="dxa"/>
          </w:tcPr>
          <w:p w:rsidR="00960968" w:rsidRDefault="00960968" w:rsidP="00960968">
            <w:pPr>
              <w:keepNext/>
              <w:jc w:val="center"/>
            </w:pPr>
            <w:r>
              <w:rPr>
                <w:noProof/>
                <w:lang w:eastAsia="cs-CZ"/>
              </w:rPr>
              <w:drawing>
                <wp:inline distT="0" distB="0" distL="0" distR="0" wp14:anchorId="43774207" wp14:editId="512CCEEC">
                  <wp:extent cx="4680000" cy="263250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ONTÁŽNÍ_OTVOR_PASÁŽ.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680000" cy="2632500"/>
                          </a:xfrm>
                          <a:prstGeom prst="rect">
                            <a:avLst/>
                          </a:prstGeom>
                        </pic:spPr>
                      </pic:pic>
                    </a:graphicData>
                  </a:graphic>
                </wp:inline>
              </w:drawing>
            </w:r>
          </w:p>
        </w:tc>
      </w:tr>
      <w:tr w:rsidR="00960968" w:rsidTr="00960968">
        <w:tc>
          <w:tcPr>
            <w:tcW w:w="9212" w:type="dxa"/>
          </w:tcPr>
          <w:p w:rsidR="00960968" w:rsidRDefault="00960968" w:rsidP="00960968">
            <w:pPr>
              <w:pStyle w:val="Obrzek"/>
              <w:keepNext w:val="0"/>
            </w:pPr>
            <w:bookmarkStart w:id="58" w:name="_Ref56063877"/>
            <w:r>
              <w:t xml:space="preserve">Obr. </w:t>
            </w:r>
            <w:fldSimple w:instr=" SEQ Obr. \* ARABIC ">
              <w:r w:rsidR="00816426">
                <w:rPr>
                  <w:noProof/>
                </w:rPr>
                <w:t>7</w:t>
              </w:r>
            </w:fldSimple>
            <w:bookmarkEnd w:id="58"/>
            <w:r>
              <w:t xml:space="preserve"> Montážní otvor v pasáži (foto Bres spol. s r. o.)</w:t>
            </w:r>
          </w:p>
        </w:tc>
      </w:tr>
    </w:tbl>
    <w:p w:rsidR="00960968" w:rsidRDefault="00960968" w:rsidP="00960968">
      <w:r>
        <w:t xml:space="preserve">I při uvažování většího otvoru však výkonově použitelné kogenerační jednotky svými rozměry přesahují rozměry montážního otvoru. </w:t>
      </w:r>
      <w:r w:rsidRPr="00583452">
        <w:rPr>
          <w:b/>
        </w:rPr>
        <w:t>Proto je v rámci této studie posouzena možnost stěhování kogenerační jednotky po částech.</w:t>
      </w:r>
      <w:r>
        <w:t xml:space="preserve"> S tím samozřejmě souvisí zvýšené investiční náklady. </w:t>
      </w:r>
    </w:p>
    <w:p w:rsidR="00583452" w:rsidRDefault="00583452" w:rsidP="00583452">
      <w:pPr>
        <w:pStyle w:val="Nadpis3"/>
      </w:pPr>
      <w:bookmarkStart w:id="59" w:name="_Ref58235431"/>
      <w:bookmarkStart w:id="60" w:name="_Toc58949351"/>
      <w:r>
        <w:t>Spotřeba elektrické energie</w:t>
      </w:r>
      <w:r w:rsidR="00EB48E8">
        <w:t xml:space="preserve"> objektu</w:t>
      </w:r>
      <w:bookmarkEnd w:id="59"/>
      <w:bookmarkEnd w:id="60"/>
    </w:p>
    <w:p w:rsidR="00EB48E8" w:rsidRDefault="00583452" w:rsidP="00583452">
      <w:r>
        <w:t>Pokud jsou splněna „vnější“ kritéria (emise, nastěhování), volí se výkon kogenerační jednotky takovým způsobem, aby se její výkon co nejvíce finančně vyplatil. Cílem je provozem kogenerační jednotky</w:t>
      </w:r>
      <w:r w:rsidR="00EB48E8">
        <w:t xml:space="preserve"> pokrýt</w:t>
      </w:r>
      <w:r>
        <w:t xml:space="preserve"> </w:t>
      </w:r>
      <w:r w:rsidR="00EB48E8">
        <w:t>co největší část spotřeby elektrické energie. Pokud kogenerační jednotka není v provozu po celý den, cílí se na to, aby byla provozována v období maximální okamžité spotřeby elektrické energie, aby mohlo dojít ke snížení maximální rezervované kapacity elektrické energie, a tedy dalšímu finančnímu zhodnocení.</w:t>
      </w:r>
    </w:p>
    <w:p w:rsidR="00583452" w:rsidRDefault="00EB48E8" w:rsidP="00583452">
      <w:r>
        <w:t xml:space="preserve">Bilance spotřeby elektrické energie jsou uvedeny v kap. </w:t>
      </w:r>
      <w:r>
        <w:fldChar w:fldCharType="begin"/>
      </w:r>
      <w:r>
        <w:instrText xml:space="preserve"> REF _Ref58235242 \r \h </w:instrText>
      </w:r>
      <w:r>
        <w:fldChar w:fldCharType="separate"/>
      </w:r>
      <w:r w:rsidR="00816426">
        <w:t>2.4</w:t>
      </w:r>
      <w:r>
        <w:fldChar w:fldCharType="end"/>
      </w:r>
      <w:r>
        <w:t xml:space="preserve">. </w:t>
      </w:r>
    </w:p>
    <w:p w:rsidR="00EB48E8" w:rsidRDefault="00EB48E8" w:rsidP="00EB48E8">
      <w:pPr>
        <w:pStyle w:val="Nadpis3"/>
      </w:pPr>
      <w:bookmarkStart w:id="61" w:name="_Toc58949352"/>
      <w:r>
        <w:t>Spotřeba tepla objektu</w:t>
      </w:r>
      <w:bookmarkEnd w:id="61"/>
    </w:p>
    <w:p w:rsidR="00EB48E8" w:rsidRDefault="006D21DB" w:rsidP="00EB48E8">
      <w:r>
        <w:t xml:space="preserve">Kogenerační jednotku by dle předcházející kap. </w:t>
      </w:r>
      <w:r>
        <w:fldChar w:fldCharType="begin"/>
      </w:r>
      <w:r>
        <w:instrText xml:space="preserve"> REF _Ref58235431 \r \h </w:instrText>
      </w:r>
      <w:r>
        <w:fldChar w:fldCharType="separate"/>
      </w:r>
      <w:r w:rsidR="00816426">
        <w:t>3.1.3</w:t>
      </w:r>
      <w:r>
        <w:fldChar w:fldCharType="end"/>
      </w:r>
      <w:r>
        <w:t xml:space="preserve"> bylo finančně nejvýhodnější provozovat jednotku nepřetržitě. Je nutno však brát v úvahu i to, zda je možné spotřebovat vyrobené teplo. </w:t>
      </w:r>
      <w:r w:rsidR="009603F6">
        <w:t>To</w:t>
      </w:r>
      <w:r>
        <w:t xml:space="preserve"> se dá v</w:t>
      </w:r>
      <w:r w:rsidR="009603F6">
        <w:t> omezeném</w:t>
      </w:r>
      <w:r>
        <w:t xml:space="preserve"> množství akumulovat v akumulačních nádobách. V krajním případě se dá vyrobené teplo i mařit (dochlazovat), to však </w:t>
      </w:r>
      <w:r w:rsidR="009603F6">
        <w:t xml:space="preserve">z důvodu přísných limitů celkových ročních emisí není příliš pravděpodobná varianta (bude předmětem výpočtu celkových ročních emisí před a po instalaci KGJ). </w:t>
      </w:r>
    </w:p>
    <w:p w:rsidR="009603F6" w:rsidRDefault="009603F6" w:rsidP="009603F6">
      <w:pPr>
        <w:pStyle w:val="Nadpis3"/>
      </w:pPr>
      <w:bookmarkStart w:id="62" w:name="_Toc58949353"/>
      <w:r>
        <w:t>Podpora obnovitelných zdrojů energie (POZE)</w:t>
      </w:r>
      <w:r w:rsidR="00CA54B8">
        <w:t xml:space="preserve"> – KVET</w:t>
      </w:r>
      <w:bookmarkEnd w:id="62"/>
    </w:p>
    <w:p w:rsidR="009603F6" w:rsidRDefault="009603F6" w:rsidP="009603F6">
      <w:r>
        <w:t>Dalším podpůrným argumentem proč neprovozovat kogenerační jednotku nepřetržitě je kromě delší životnosti kogenerační jednotky, která je stanovována na určité množství motohodin</w:t>
      </w:r>
      <w:r w:rsidR="00CA54B8">
        <w:t>, také podpora obnovitelných zdrojů energie. Finanční podpora se vyplácí za vyrobenou MWh elektrické energie, avšak za podmínky nepřekročení ročních provozních hodin. Pro získání zelených bonusů lze kogenerační jednotku provozovat buď maximálně 3</w:t>
      </w:r>
      <w:r w:rsidR="00402561">
        <w:t> </w:t>
      </w:r>
      <w:r w:rsidR="00CA54B8">
        <w:t>000 h (vyšší částka za MWh vyrobené el. energie), nebo maximálně 4</w:t>
      </w:r>
      <w:r w:rsidR="00402561">
        <w:t> </w:t>
      </w:r>
      <w:r w:rsidR="00CA54B8">
        <w:t xml:space="preserve">400 h (nižší částka za MWh vyrobené el. energie) – viz </w:t>
      </w:r>
      <w:r w:rsidR="00E847A8">
        <w:fldChar w:fldCharType="begin"/>
      </w:r>
      <w:r w:rsidR="00E847A8">
        <w:instrText xml:space="preserve"> REF _Ref56804164 \h </w:instrText>
      </w:r>
      <w:r w:rsidR="00E847A8">
        <w:fldChar w:fldCharType="separate"/>
      </w:r>
      <w:r w:rsidR="00816426">
        <w:t xml:space="preserve">Tab. </w:t>
      </w:r>
      <w:r w:rsidR="00816426">
        <w:rPr>
          <w:noProof/>
        </w:rPr>
        <w:t>6</w:t>
      </w:r>
      <w:r w:rsidR="00E847A8">
        <w:fldChar w:fldCharType="end"/>
      </w:r>
      <w:r w:rsidR="00CA54B8">
        <w:t xml:space="preserve">. </w:t>
      </w:r>
    </w:p>
    <w:p w:rsidR="00E847A8" w:rsidRDefault="00E847A8" w:rsidP="00E847A8">
      <w:pPr>
        <w:pStyle w:val="Tabulka"/>
      </w:pPr>
      <w:bookmarkStart w:id="63" w:name="_Ref56804164"/>
      <w:r>
        <w:t xml:space="preserve">Tab. </w:t>
      </w:r>
      <w:fldSimple w:instr=" SEQ Tab. \* ARABIC ">
        <w:r w:rsidR="00816426">
          <w:rPr>
            <w:noProof/>
          </w:rPr>
          <w:t>6</w:t>
        </w:r>
      </w:fldSimple>
      <w:bookmarkEnd w:id="63"/>
      <w:r>
        <w:t xml:space="preserve"> Základní sazba ročního zeleného bonusu na elektřinu z KVET </w:t>
      </w:r>
      <w:r>
        <w:rPr>
          <w:lang w:val="en-US"/>
        </w:rPr>
        <w:t>[2]</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995"/>
        <w:gridCol w:w="1114"/>
        <w:gridCol w:w="1318"/>
        <w:gridCol w:w="1139"/>
        <w:gridCol w:w="1125"/>
        <w:gridCol w:w="1427"/>
        <w:gridCol w:w="1170"/>
      </w:tblGrid>
      <w:tr w:rsidR="00E847A8" w:rsidTr="00402561">
        <w:trPr>
          <w:trHeight w:val="397"/>
        </w:trPr>
        <w:tc>
          <w:tcPr>
            <w:tcW w:w="1995" w:type="dxa"/>
            <w:vMerge w:val="restart"/>
            <w:tcBorders>
              <w:top w:val="single" w:sz="12" w:space="0" w:color="auto"/>
              <w:bottom w:val="single" w:sz="4" w:space="0" w:color="auto"/>
            </w:tcBorders>
            <w:vAlign w:val="center"/>
          </w:tcPr>
          <w:p w:rsidR="00E847A8" w:rsidRDefault="00E847A8" w:rsidP="00402561">
            <w:pPr>
              <w:keepNext/>
              <w:spacing w:before="0" w:after="0"/>
              <w:jc w:val="center"/>
            </w:pPr>
            <w:r>
              <w:t>Podporovaný druh energie</w:t>
            </w:r>
          </w:p>
        </w:tc>
        <w:tc>
          <w:tcPr>
            <w:tcW w:w="2432" w:type="dxa"/>
            <w:gridSpan w:val="2"/>
            <w:tcBorders>
              <w:top w:val="single" w:sz="12" w:space="0" w:color="auto"/>
              <w:bottom w:val="nil"/>
            </w:tcBorders>
            <w:vAlign w:val="center"/>
          </w:tcPr>
          <w:p w:rsidR="00E847A8" w:rsidRDefault="00E847A8" w:rsidP="00402561">
            <w:pPr>
              <w:keepNext/>
              <w:spacing w:before="0" w:after="0"/>
              <w:jc w:val="center"/>
            </w:pPr>
            <w:r>
              <w:t>Datum uvedení výrobny do provozu</w:t>
            </w:r>
          </w:p>
        </w:tc>
        <w:tc>
          <w:tcPr>
            <w:tcW w:w="2264" w:type="dxa"/>
            <w:gridSpan w:val="2"/>
            <w:tcBorders>
              <w:top w:val="single" w:sz="12" w:space="0" w:color="auto"/>
              <w:bottom w:val="nil"/>
            </w:tcBorders>
            <w:vAlign w:val="center"/>
          </w:tcPr>
          <w:p w:rsidR="00E847A8" w:rsidRPr="00CD465B" w:rsidRDefault="00E847A8" w:rsidP="00402561">
            <w:pPr>
              <w:keepNext/>
              <w:spacing w:before="0" w:after="0"/>
              <w:jc w:val="center"/>
            </w:pPr>
            <w:r>
              <w:t xml:space="preserve">Instalovaný výkon výrobny </w:t>
            </w:r>
            <w:r>
              <w:rPr>
                <w:lang w:val="en-US"/>
              </w:rPr>
              <w:t>[kW]</w:t>
            </w:r>
          </w:p>
        </w:tc>
        <w:tc>
          <w:tcPr>
            <w:tcW w:w="1427" w:type="dxa"/>
            <w:vMerge w:val="restart"/>
            <w:tcBorders>
              <w:top w:val="single" w:sz="12" w:space="0" w:color="auto"/>
              <w:bottom w:val="nil"/>
            </w:tcBorders>
            <w:vAlign w:val="center"/>
          </w:tcPr>
          <w:p w:rsidR="00E847A8" w:rsidRPr="00CD465B" w:rsidRDefault="00E847A8" w:rsidP="00402561">
            <w:pPr>
              <w:keepNext/>
              <w:spacing w:before="0" w:after="0"/>
              <w:jc w:val="center"/>
            </w:pPr>
            <w:r>
              <w:t xml:space="preserve">Provozní hodiny kogenerační jednotky </w:t>
            </w:r>
            <w:r>
              <w:rPr>
                <w:lang w:val="en-US"/>
              </w:rPr>
              <w:t>[h/rok]</w:t>
            </w:r>
          </w:p>
        </w:tc>
        <w:tc>
          <w:tcPr>
            <w:tcW w:w="1170" w:type="dxa"/>
            <w:vMerge w:val="restart"/>
            <w:tcBorders>
              <w:top w:val="single" w:sz="12" w:space="0" w:color="auto"/>
              <w:bottom w:val="nil"/>
            </w:tcBorders>
            <w:vAlign w:val="center"/>
          </w:tcPr>
          <w:p w:rsidR="00E847A8" w:rsidRPr="00CD465B" w:rsidRDefault="00E847A8" w:rsidP="00402561">
            <w:pPr>
              <w:keepNext/>
              <w:spacing w:before="0" w:after="0"/>
              <w:jc w:val="center"/>
            </w:pPr>
            <w:r>
              <w:t xml:space="preserve">Zelené bonus </w:t>
            </w:r>
            <w:r>
              <w:rPr>
                <w:lang w:val="en-US"/>
              </w:rPr>
              <w:t>[Kč/MWh]</w:t>
            </w:r>
          </w:p>
        </w:tc>
      </w:tr>
      <w:tr w:rsidR="00E847A8" w:rsidTr="00402561">
        <w:trPr>
          <w:trHeight w:val="397"/>
        </w:trPr>
        <w:tc>
          <w:tcPr>
            <w:tcW w:w="1995" w:type="dxa"/>
            <w:vMerge/>
            <w:tcBorders>
              <w:top w:val="nil"/>
              <w:bottom w:val="single" w:sz="4" w:space="0" w:color="auto"/>
            </w:tcBorders>
          </w:tcPr>
          <w:p w:rsidR="00E847A8" w:rsidRDefault="00E847A8" w:rsidP="00402561">
            <w:pPr>
              <w:keepNext/>
              <w:spacing w:before="0" w:after="0"/>
            </w:pPr>
          </w:p>
        </w:tc>
        <w:tc>
          <w:tcPr>
            <w:tcW w:w="1114" w:type="dxa"/>
            <w:tcBorders>
              <w:top w:val="nil"/>
              <w:bottom w:val="single" w:sz="4" w:space="0" w:color="auto"/>
            </w:tcBorders>
            <w:vAlign w:val="center"/>
          </w:tcPr>
          <w:p w:rsidR="00E847A8" w:rsidRDefault="00E847A8" w:rsidP="00402561">
            <w:pPr>
              <w:keepNext/>
              <w:spacing w:before="0" w:after="0"/>
              <w:jc w:val="center"/>
            </w:pPr>
            <w:r>
              <w:t>od</w:t>
            </w:r>
          </w:p>
        </w:tc>
        <w:tc>
          <w:tcPr>
            <w:tcW w:w="1318" w:type="dxa"/>
            <w:tcBorders>
              <w:top w:val="nil"/>
              <w:bottom w:val="single" w:sz="4" w:space="0" w:color="auto"/>
            </w:tcBorders>
            <w:vAlign w:val="center"/>
          </w:tcPr>
          <w:p w:rsidR="00E847A8" w:rsidRDefault="00E847A8" w:rsidP="00402561">
            <w:pPr>
              <w:keepNext/>
              <w:spacing w:before="0" w:after="0"/>
              <w:jc w:val="center"/>
            </w:pPr>
            <w:r>
              <w:t>do</w:t>
            </w:r>
          </w:p>
        </w:tc>
        <w:tc>
          <w:tcPr>
            <w:tcW w:w="1139" w:type="dxa"/>
            <w:tcBorders>
              <w:top w:val="nil"/>
              <w:bottom w:val="single" w:sz="4" w:space="0" w:color="auto"/>
            </w:tcBorders>
            <w:vAlign w:val="center"/>
          </w:tcPr>
          <w:p w:rsidR="00E847A8" w:rsidRDefault="00E847A8" w:rsidP="00402561">
            <w:pPr>
              <w:keepNext/>
              <w:spacing w:before="0" w:after="0"/>
              <w:jc w:val="center"/>
            </w:pPr>
            <w:r>
              <w:t>od</w:t>
            </w:r>
          </w:p>
        </w:tc>
        <w:tc>
          <w:tcPr>
            <w:tcW w:w="1125" w:type="dxa"/>
            <w:tcBorders>
              <w:top w:val="nil"/>
              <w:bottom w:val="single" w:sz="4" w:space="0" w:color="auto"/>
            </w:tcBorders>
            <w:vAlign w:val="center"/>
          </w:tcPr>
          <w:p w:rsidR="00E847A8" w:rsidRDefault="00E847A8" w:rsidP="00402561">
            <w:pPr>
              <w:keepNext/>
              <w:spacing w:before="0" w:after="0"/>
              <w:jc w:val="center"/>
            </w:pPr>
            <w:r>
              <w:t>do</w:t>
            </w:r>
          </w:p>
        </w:tc>
        <w:tc>
          <w:tcPr>
            <w:tcW w:w="1427" w:type="dxa"/>
            <w:vMerge/>
            <w:tcBorders>
              <w:top w:val="nil"/>
              <w:bottom w:val="single" w:sz="4" w:space="0" w:color="auto"/>
            </w:tcBorders>
            <w:vAlign w:val="center"/>
          </w:tcPr>
          <w:p w:rsidR="00E847A8" w:rsidRDefault="00E847A8" w:rsidP="00402561">
            <w:pPr>
              <w:keepNext/>
              <w:spacing w:before="0" w:after="0"/>
              <w:jc w:val="center"/>
            </w:pPr>
          </w:p>
        </w:tc>
        <w:tc>
          <w:tcPr>
            <w:tcW w:w="1170" w:type="dxa"/>
            <w:vMerge/>
            <w:tcBorders>
              <w:top w:val="nil"/>
              <w:bottom w:val="single" w:sz="4" w:space="0" w:color="auto"/>
            </w:tcBorders>
            <w:vAlign w:val="center"/>
          </w:tcPr>
          <w:p w:rsidR="00E847A8" w:rsidRDefault="00E847A8" w:rsidP="00402561">
            <w:pPr>
              <w:keepNext/>
              <w:spacing w:before="0" w:after="0"/>
              <w:jc w:val="center"/>
            </w:pPr>
          </w:p>
        </w:tc>
      </w:tr>
      <w:tr w:rsidR="00E847A8" w:rsidTr="00402561">
        <w:trPr>
          <w:trHeight w:val="397"/>
        </w:trPr>
        <w:tc>
          <w:tcPr>
            <w:tcW w:w="1995" w:type="dxa"/>
            <w:vMerge w:val="restart"/>
            <w:tcBorders>
              <w:top w:val="single" w:sz="4" w:space="0" w:color="auto"/>
            </w:tcBorders>
            <w:vAlign w:val="center"/>
          </w:tcPr>
          <w:p w:rsidR="00E847A8" w:rsidRDefault="00E847A8" w:rsidP="00402561">
            <w:pPr>
              <w:keepNext/>
              <w:spacing w:before="0" w:after="0"/>
              <w:jc w:val="center"/>
            </w:pPr>
            <w:r>
              <w:t>Elektřina z KVET</w:t>
            </w:r>
          </w:p>
        </w:tc>
        <w:tc>
          <w:tcPr>
            <w:tcW w:w="1114" w:type="dxa"/>
            <w:tcBorders>
              <w:top w:val="single" w:sz="4" w:space="0" w:color="auto"/>
            </w:tcBorders>
            <w:vAlign w:val="center"/>
          </w:tcPr>
          <w:p w:rsidR="00E847A8" w:rsidRDefault="00E847A8" w:rsidP="00402561">
            <w:pPr>
              <w:keepNext/>
              <w:spacing w:before="0" w:after="0"/>
              <w:jc w:val="center"/>
            </w:pPr>
            <w:r>
              <w:t>-</w:t>
            </w:r>
          </w:p>
        </w:tc>
        <w:tc>
          <w:tcPr>
            <w:tcW w:w="1318" w:type="dxa"/>
            <w:tcBorders>
              <w:top w:val="single" w:sz="4" w:space="0" w:color="auto"/>
            </w:tcBorders>
            <w:vAlign w:val="center"/>
          </w:tcPr>
          <w:p w:rsidR="00E847A8" w:rsidRDefault="00E847A8" w:rsidP="00402561">
            <w:pPr>
              <w:keepNext/>
              <w:spacing w:before="0" w:after="0"/>
              <w:jc w:val="center"/>
            </w:pPr>
            <w:r>
              <w:t>31.12.2021</w:t>
            </w:r>
          </w:p>
        </w:tc>
        <w:tc>
          <w:tcPr>
            <w:tcW w:w="1139" w:type="dxa"/>
            <w:tcBorders>
              <w:top w:val="single" w:sz="4" w:space="0" w:color="auto"/>
            </w:tcBorders>
            <w:vAlign w:val="center"/>
          </w:tcPr>
          <w:p w:rsidR="00E847A8" w:rsidRDefault="00E847A8" w:rsidP="00402561">
            <w:pPr>
              <w:keepNext/>
              <w:spacing w:before="0" w:after="0"/>
              <w:jc w:val="center"/>
            </w:pPr>
            <w:r>
              <w:t>0</w:t>
            </w:r>
          </w:p>
        </w:tc>
        <w:tc>
          <w:tcPr>
            <w:tcW w:w="1125" w:type="dxa"/>
            <w:tcBorders>
              <w:top w:val="single" w:sz="4" w:space="0" w:color="auto"/>
            </w:tcBorders>
            <w:vAlign w:val="center"/>
          </w:tcPr>
          <w:p w:rsidR="00E847A8" w:rsidRDefault="00E847A8" w:rsidP="00402561">
            <w:pPr>
              <w:keepNext/>
              <w:spacing w:before="0" w:after="0"/>
              <w:jc w:val="center"/>
            </w:pPr>
            <w:r>
              <w:t>200</w:t>
            </w:r>
          </w:p>
        </w:tc>
        <w:tc>
          <w:tcPr>
            <w:tcW w:w="1427" w:type="dxa"/>
            <w:tcBorders>
              <w:top w:val="single" w:sz="4" w:space="0" w:color="auto"/>
            </w:tcBorders>
            <w:vAlign w:val="center"/>
          </w:tcPr>
          <w:p w:rsidR="00E847A8" w:rsidRDefault="00E847A8" w:rsidP="00402561">
            <w:pPr>
              <w:keepNext/>
              <w:spacing w:before="0" w:after="0"/>
              <w:jc w:val="center"/>
            </w:pPr>
            <w:r>
              <w:t>3</w:t>
            </w:r>
            <w:r w:rsidR="00402561">
              <w:t> </w:t>
            </w:r>
            <w:r>
              <w:t>000</w:t>
            </w:r>
          </w:p>
        </w:tc>
        <w:tc>
          <w:tcPr>
            <w:tcW w:w="1170" w:type="dxa"/>
            <w:tcBorders>
              <w:top w:val="single" w:sz="4" w:space="0" w:color="auto"/>
            </w:tcBorders>
            <w:vAlign w:val="center"/>
          </w:tcPr>
          <w:p w:rsidR="00E847A8" w:rsidRDefault="00E847A8" w:rsidP="00402561">
            <w:pPr>
              <w:keepNext/>
              <w:spacing w:before="0" w:after="0"/>
              <w:jc w:val="center"/>
            </w:pPr>
            <w:r>
              <w:t>1</w:t>
            </w:r>
            <w:r w:rsidR="00402561">
              <w:t> </w:t>
            </w:r>
            <w:r>
              <w:t>022</w:t>
            </w:r>
          </w:p>
        </w:tc>
      </w:tr>
      <w:tr w:rsidR="00E847A8" w:rsidTr="00402561">
        <w:trPr>
          <w:trHeight w:val="397"/>
        </w:trPr>
        <w:tc>
          <w:tcPr>
            <w:tcW w:w="1995" w:type="dxa"/>
            <w:vMerge/>
          </w:tcPr>
          <w:p w:rsidR="00E847A8" w:rsidRDefault="00E847A8" w:rsidP="00402561">
            <w:pPr>
              <w:keepNext/>
              <w:spacing w:before="0" w:after="0"/>
            </w:pPr>
          </w:p>
        </w:tc>
        <w:tc>
          <w:tcPr>
            <w:tcW w:w="1114" w:type="dxa"/>
            <w:vAlign w:val="center"/>
          </w:tcPr>
          <w:p w:rsidR="00E847A8" w:rsidRDefault="00E847A8" w:rsidP="00402561">
            <w:pPr>
              <w:keepNext/>
              <w:spacing w:before="0" w:after="0"/>
              <w:jc w:val="center"/>
            </w:pPr>
            <w:r>
              <w:t>-</w:t>
            </w:r>
          </w:p>
        </w:tc>
        <w:tc>
          <w:tcPr>
            <w:tcW w:w="1318" w:type="dxa"/>
            <w:vAlign w:val="center"/>
          </w:tcPr>
          <w:p w:rsidR="00E847A8" w:rsidRDefault="00E847A8" w:rsidP="00402561">
            <w:pPr>
              <w:keepNext/>
              <w:spacing w:before="0" w:after="0"/>
              <w:jc w:val="center"/>
            </w:pPr>
            <w:r>
              <w:t>31.12.2021</w:t>
            </w:r>
          </w:p>
        </w:tc>
        <w:tc>
          <w:tcPr>
            <w:tcW w:w="1139" w:type="dxa"/>
            <w:vAlign w:val="center"/>
          </w:tcPr>
          <w:p w:rsidR="00E847A8" w:rsidRDefault="00E847A8" w:rsidP="00402561">
            <w:pPr>
              <w:keepNext/>
              <w:spacing w:before="0" w:after="0"/>
              <w:jc w:val="center"/>
            </w:pPr>
            <w:r>
              <w:t>0</w:t>
            </w:r>
          </w:p>
        </w:tc>
        <w:tc>
          <w:tcPr>
            <w:tcW w:w="1125" w:type="dxa"/>
            <w:vAlign w:val="center"/>
          </w:tcPr>
          <w:p w:rsidR="00E847A8" w:rsidRDefault="00E847A8" w:rsidP="00402561">
            <w:pPr>
              <w:keepNext/>
              <w:spacing w:before="0" w:after="0"/>
              <w:jc w:val="center"/>
            </w:pPr>
            <w:r>
              <w:t>200</w:t>
            </w:r>
          </w:p>
        </w:tc>
        <w:tc>
          <w:tcPr>
            <w:tcW w:w="1427" w:type="dxa"/>
            <w:vAlign w:val="center"/>
          </w:tcPr>
          <w:p w:rsidR="00E847A8" w:rsidRDefault="00E847A8" w:rsidP="00402561">
            <w:pPr>
              <w:keepNext/>
              <w:spacing w:before="0" w:after="0"/>
              <w:jc w:val="center"/>
            </w:pPr>
            <w:r>
              <w:t>4</w:t>
            </w:r>
            <w:r w:rsidR="00402561">
              <w:t> </w:t>
            </w:r>
            <w:r>
              <w:t>400</w:t>
            </w:r>
          </w:p>
        </w:tc>
        <w:tc>
          <w:tcPr>
            <w:tcW w:w="1170" w:type="dxa"/>
            <w:vAlign w:val="center"/>
          </w:tcPr>
          <w:p w:rsidR="00E847A8" w:rsidRDefault="00E847A8" w:rsidP="00402561">
            <w:pPr>
              <w:keepNext/>
              <w:spacing w:before="0" w:after="0"/>
              <w:jc w:val="center"/>
            </w:pPr>
            <w:r>
              <w:t>602</w:t>
            </w:r>
          </w:p>
        </w:tc>
      </w:tr>
      <w:tr w:rsidR="00E847A8" w:rsidTr="00402561">
        <w:trPr>
          <w:trHeight w:val="397"/>
        </w:trPr>
        <w:tc>
          <w:tcPr>
            <w:tcW w:w="1995" w:type="dxa"/>
            <w:vMerge/>
          </w:tcPr>
          <w:p w:rsidR="00E847A8" w:rsidRDefault="00E847A8" w:rsidP="00402561">
            <w:pPr>
              <w:keepNext/>
              <w:spacing w:before="0" w:after="0"/>
            </w:pPr>
          </w:p>
        </w:tc>
        <w:tc>
          <w:tcPr>
            <w:tcW w:w="1114" w:type="dxa"/>
            <w:vAlign w:val="center"/>
          </w:tcPr>
          <w:p w:rsidR="00E847A8" w:rsidRDefault="00E847A8" w:rsidP="00402561">
            <w:pPr>
              <w:keepNext/>
              <w:spacing w:before="0" w:after="0"/>
              <w:jc w:val="center"/>
            </w:pPr>
            <w:r>
              <w:t>-</w:t>
            </w:r>
          </w:p>
        </w:tc>
        <w:tc>
          <w:tcPr>
            <w:tcW w:w="1318" w:type="dxa"/>
            <w:vAlign w:val="center"/>
          </w:tcPr>
          <w:p w:rsidR="00E847A8" w:rsidRDefault="00E847A8" w:rsidP="00402561">
            <w:pPr>
              <w:keepNext/>
              <w:spacing w:before="0" w:after="0"/>
              <w:jc w:val="center"/>
            </w:pPr>
            <w:r>
              <w:t>31.12.2021</w:t>
            </w:r>
          </w:p>
        </w:tc>
        <w:tc>
          <w:tcPr>
            <w:tcW w:w="1139" w:type="dxa"/>
            <w:vAlign w:val="center"/>
          </w:tcPr>
          <w:p w:rsidR="00E847A8" w:rsidRDefault="00E847A8" w:rsidP="00402561">
            <w:pPr>
              <w:keepNext/>
              <w:spacing w:before="0" w:after="0"/>
              <w:jc w:val="center"/>
            </w:pPr>
            <w:r>
              <w:t>200</w:t>
            </w:r>
          </w:p>
        </w:tc>
        <w:tc>
          <w:tcPr>
            <w:tcW w:w="1125" w:type="dxa"/>
            <w:vAlign w:val="center"/>
          </w:tcPr>
          <w:p w:rsidR="00E847A8" w:rsidRDefault="00E847A8" w:rsidP="00402561">
            <w:pPr>
              <w:keepNext/>
              <w:spacing w:before="0" w:after="0"/>
              <w:jc w:val="center"/>
            </w:pPr>
            <w:r>
              <w:t>1000</w:t>
            </w:r>
          </w:p>
        </w:tc>
        <w:tc>
          <w:tcPr>
            <w:tcW w:w="1427" w:type="dxa"/>
            <w:vAlign w:val="center"/>
          </w:tcPr>
          <w:p w:rsidR="00E847A8" w:rsidRDefault="00E847A8" w:rsidP="00402561">
            <w:pPr>
              <w:keepNext/>
              <w:spacing w:before="0" w:after="0"/>
              <w:jc w:val="center"/>
            </w:pPr>
            <w:r>
              <w:t>3</w:t>
            </w:r>
            <w:r w:rsidR="00402561">
              <w:t> </w:t>
            </w:r>
            <w:r>
              <w:t>000</w:t>
            </w:r>
          </w:p>
        </w:tc>
        <w:tc>
          <w:tcPr>
            <w:tcW w:w="1170" w:type="dxa"/>
            <w:vAlign w:val="center"/>
          </w:tcPr>
          <w:p w:rsidR="00E847A8" w:rsidRDefault="00E847A8" w:rsidP="00402561">
            <w:pPr>
              <w:keepNext/>
              <w:spacing w:before="0" w:after="0"/>
              <w:jc w:val="center"/>
            </w:pPr>
            <w:r>
              <w:t>656</w:t>
            </w:r>
          </w:p>
        </w:tc>
      </w:tr>
      <w:tr w:rsidR="00E847A8" w:rsidTr="00402561">
        <w:trPr>
          <w:trHeight w:val="397"/>
        </w:trPr>
        <w:tc>
          <w:tcPr>
            <w:tcW w:w="1995" w:type="dxa"/>
            <w:vMerge/>
          </w:tcPr>
          <w:p w:rsidR="00E847A8" w:rsidRDefault="00E847A8" w:rsidP="00402561">
            <w:pPr>
              <w:spacing w:before="0" w:after="0"/>
            </w:pPr>
          </w:p>
        </w:tc>
        <w:tc>
          <w:tcPr>
            <w:tcW w:w="1114" w:type="dxa"/>
            <w:vAlign w:val="center"/>
          </w:tcPr>
          <w:p w:rsidR="00E847A8" w:rsidRDefault="00E847A8" w:rsidP="00402561">
            <w:pPr>
              <w:spacing w:before="0" w:after="0"/>
              <w:jc w:val="center"/>
            </w:pPr>
            <w:r>
              <w:t>-</w:t>
            </w:r>
          </w:p>
        </w:tc>
        <w:tc>
          <w:tcPr>
            <w:tcW w:w="1318" w:type="dxa"/>
            <w:vAlign w:val="center"/>
          </w:tcPr>
          <w:p w:rsidR="00E847A8" w:rsidRDefault="00E847A8" w:rsidP="00402561">
            <w:pPr>
              <w:spacing w:before="0" w:after="0"/>
              <w:jc w:val="center"/>
            </w:pPr>
            <w:r>
              <w:t>31.12.2021</w:t>
            </w:r>
          </w:p>
        </w:tc>
        <w:tc>
          <w:tcPr>
            <w:tcW w:w="1139" w:type="dxa"/>
            <w:vAlign w:val="center"/>
          </w:tcPr>
          <w:p w:rsidR="00E847A8" w:rsidRDefault="00E847A8" w:rsidP="00402561">
            <w:pPr>
              <w:spacing w:before="0" w:after="0"/>
              <w:jc w:val="center"/>
            </w:pPr>
            <w:r>
              <w:t>200</w:t>
            </w:r>
          </w:p>
        </w:tc>
        <w:tc>
          <w:tcPr>
            <w:tcW w:w="1125" w:type="dxa"/>
            <w:vAlign w:val="center"/>
          </w:tcPr>
          <w:p w:rsidR="00E847A8" w:rsidRDefault="00E847A8" w:rsidP="00402561">
            <w:pPr>
              <w:spacing w:before="0" w:after="0"/>
              <w:jc w:val="center"/>
            </w:pPr>
            <w:r>
              <w:t>1000</w:t>
            </w:r>
          </w:p>
        </w:tc>
        <w:tc>
          <w:tcPr>
            <w:tcW w:w="1427" w:type="dxa"/>
            <w:vAlign w:val="center"/>
          </w:tcPr>
          <w:p w:rsidR="00E847A8" w:rsidRDefault="00E847A8" w:rsidP="00402561">
            <w:pPr>
              <w:spacing w:before="0" w:after="0"/>
              <w:jc w:val="center"/>
            </w:pPr>
            <w:r>
              <w:t>4</w:t>
            </w:r>
            <w:r w:rsidR="00402561">
              <w:t> </w:t>
            </w:r>
            <w:r>
              <w:t>400</w:t>
            </w:r>
          </w:p>
        </w:tc>
        <w:tc>
          <w:tcPr>
            <w:tcW w:w="1170" w:type="dxa"/>
            <w:vAlign w:val="center"/>
          </w:tcPr>
          <w:p w:rsidR="00E847A8" w:rsidRDefault="00E847A8" w:rsidP="00402561">
            <w:pPr>
              <w:spacing w:before="0" w:after="0"/>
              <w:jc w:val="center"/>
            </w:pPr>
            <w:r>
              <w:t>289</w:t>
            </w:r>
          </w:p>
        </w:tc>
      </w:tr>
    </w:tbl>
    <w:p w:rsidR="005911CD" w:rsidRDefault="00A44C9D" w:rsidP="00A44C9D">
      <w:pPr>
        <w:pStyle w:val="Nadpis2"/>
      </w:pPr>
      <w:bookmarkStart w:id="64" w:name="_Toc58949354"/>
      <w:r>
        <w:t xml:space="preserve">Varianta A – </w:t>
      </w:r>
      <w:r w:rsidR="004206E3">
        <w:t>d</w:t>
      </w:r>
      <w:r w:rsidR="00E847A8">
        <w:t>odatečná kritéria</w:t>
      </w:r>
      <w:bookmarkEnd w:id="64"/>
    </w:p>
    <w:p w:rsidR="00163AC4" w:rsidRDefault="00D45CFA" w:rsidP="00163AC4">
      <w:r>
        <w:t>Instalace t</w:t>
      </w:r>
      <w:r w:rsidR="0089663D">
        <w:t>ri</w:t>
      </w:r>
      <w:r>
        <w:t>generační jednotky představuje společnou výrobu tepla, chladu a elektrické energie</w:t>
      </w:r>
      <w:r w:rsidR="0089663D">
        <w:t xml:space="preserve"> (</w:t>
      </w:r>
      <w:r w:rsidR="00A25141">
        <w:t>základní dvě schémata trigenerace</w:t>
      </w:r>
      <w:r w:rsidR="0089663D" w:rsidRPr="00E37677">
        <w:t xml:space="preserve"> viz </w:t>
      </w:r>
      <w:r w:rsidR="00E37677" w:rsidRPr="00E37677">
        <w:fldChar w:fldCharType="begin"/>
      </w:r>
      <w:r w:rsidR="00E37677" w:rsidRPr="00E37677">
        <w:instrText xml:space="preserve"> REF _Ref56063998 \h </w:instrText>
      </w:r>
      <w:r w:rsidR="00E37677">
        <w:instrText xml:space="preserve"> \* MERGEFORMAT </w:instrText>
      </w:r>
      <w:r w:rsidR="00E37677" w:rsidRPr="00E37677">
        <w:fldChar w:fldCharType="separate"/>
      </w:r>
      <w:r w:rsidR="00816426">
        <w:t xml:space="preserve">Obr. </w:t>
      </w:r>
      <w:r w:rsidR="00816426">
        <w:rPr>
          <w:noProof/>
        </w:rPr>
        <w:t>8</w:t>
      </w:r>
      <w:r w:rsidR="00E37677" w:rsidRPr="00E37677">
        <w:fldChar w:fldCharType="end"/>
      </w:r>
      <w:r w:rsidR="0089663D">
        <w:t>)</w:t>
      </w:r>
      <w:r>
        <w:t xml:space="preserve">. Za tímto účelem je zapotřebí instalovat </w:t>
      </w:r>
      <w:r w:rsidR="006B1B91">
        <w:t>KGJ</w:t>
      </w:r>
      <w:r>
        <w:t xml:space="preserve"> a absorpční chlazení, které dokáže využít odpadní teplo </w:t>
      </w:r>
      <w:r w:rsidR="006D507C">
        <w:t>produkované právě kogenerační jednotkou.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89663D" w:rsidTr="00583452">
        <w:tc>
          <w:tcPr>
            <w:tcW w:w="9288" w:type="dxa"/>
          </w:tcPr>
          <w:p w:rsidR="0089663D" w:rsidRDefault="00A25141" w:rsidP="0089663D">
            <w:pPr>
              <w:keepNext/>
              <w:jc w:val="center"/>
            </w:pPr>
            <w:r>
              <w:rPr>
                <w:noProof/>
                <w:lang w:eastAsia="cs-CZ"/>
              </w:rPr>
              <w:drawing>
                <wp:inline distT="0" distB="0" distL="0" distR="0" wp14:anchorId="3F0B1F68" wp14:editId="28C0B34C">
                  <wp:extent cx="5760720" cy="3825240"/>
                  <wp:effectExtent l="0" t="0" r="0"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3825240"/>
                          </a:xfrm>
                          <a:prstGeom prst="rect">
                            <a:avLst/>
                          </a:prstGeom>
                        </pic:spPr>
                      </pic:pic>
                    </a:graphicData>
                  </a:graphic>
                </wp:inline>
              </w:drawing>
            </w:r>
          </w:p>
        </w:tc>
      </w:tr>
      <w:tr w:rsidR="0089663D" w:rsidTr="00583452">
        <w:tc>
          <w:tcPr>
            <w:tcW w:w="9288" w:type="dxa"/>
          </w:tcPr>
          <w:p w:rsidR="00914F1B" w:rsidRPr="00914F1B" w:rsidRDefault="0089663D" w:rsidP="00914F1B">
            <w:pPr>
              <w:pStyle w:val="Obrzek"/>
              <w:keepNext w:val="0"/>
            </w:pPr>
            <w:bookmarkStart w:id="65" w:name="_Ref56063998"/>
            <w:r>
              <w:t xml:space="preserve">Obr. </w:t>
            </w:r>
            <w:fldSimple w:instr=" SEQ Obr. \* ARABIC ">
              <w:r w:rsidR="00816426">
                <w:rPr>
                  <w:noProof/>
                </w:rPr>
                <w:t>8</w:t>
              </w:r>
            </w:fldSimple>
            <w:bookmarkEnd w:id="65"/>
            <w:r>
              <w:t xml:space="preserve"> Schéma trigenerace [4]</w:t>
            </w:r>
          </w:p>
        </w:tc>
      </w:tr>
    </w:tbl>
    <w:p w:rsidR="006D507C" w:rsidRDefault="00E30DB4" w:rsidP="00163AC4">
      <w:r>
        <w:t xml:space="preserve">Při instalaci KGJ a absorpčního chlazení do kotelny v místnosti 3S302B by bylo nutné demontovat </w:t>
      </w:r>
      <w:r w:rsidR="00D33DF3">
        <w:t>všechny tři</w:t>
      </w:r>
      <w:r>
        <w:t xml:space="preserve"> kotle</w:t>
      </w:r>
      <w:r w:rsidR="00D33DF3">
        <w:t xml:space="preserve"> (vč. menšího kotle pro ohřev TV)</w:t>
      </w:r>
      <w:r>
        <w:t>. To by však nemělo způsobit přerušení v dodávce tepla pro vytápění a ohřev TV, neboť dodávka tepla je zajištěna střídavě druhou kotelnou v místnosti 3S501</w:t>
      </w:r>
      <w:r w:rsidR="009C3B91">
        <w:t xml:space="preserve">, která by obstarala dodávku tepla v průběhu rekonstrukce. </w:t>
      </w:r>
    </w:p>
    <w:p w:rsidR="009C3B91" w:rsidRDefault="009C3B91" w:rsidP="00163AC4">
      <w:r>
        <w:t>K omezení provozu nedojde ani při instalaci nového zdroje chladu, neboť se dle konzultací předpokládá, že bude zásobovat zcela nové větve chlazení.</w:t>
      </w:r>
    </w:p>
    <w:p w:rsidR="009C3B91" w:rsidRDefault="009C3B91" w:rsidP="009C3B91">
      <w:pPr>
        <w:rPr>
          <w:b/>
        </w:rPr>
      </w:pPr>
      <w:r w:rsidRPr="009C3B91">
        <w:rPr>
          <w:b/>
        </w:rPr>
        <w:t xml:space="preserve">Vzhledem k výše uvedenému není zapotřebí členit instalaci na více etap a není zapotřebí budovat ani provizorní trasy. </w:t>
      </w:r>
    </w:p>
    <w:p w:rsidR="00AD6C6D" w:rsidRDefault="00AD6C6D" w:rsidP="00AD6C6D">
      <w:pPr>
        <w:pStyle w:val="Nadpis3"/>
      </w:pPr>
      <w:bookmarkStart w:id="66" w:name="_Toc58949355"/>
      <w:r>
        <w:t xml:space="preserve">Nároky na emisní limity </w:t>
      </w:r>
      <w:r w:rsidR="006D25F8">
        <w:t>(absorpční jednotka)</w:t>
      </w:r>
      <w:bookmarkEnd w:id="66"/>
    </w:p>
    <w:p w:rsidR="00AD6C6D" w:rsidRPr="00AD6C6D" w:rsidRDefault="00AD6C6D" w:rsidP="00AD6C6D">
      <w:r>
        <w:t>Provoz</w:t>
      </w:r>
      <w:r w:rsidR="006D25F8">
        <w:t xml:space="preserve"> absorpční</w:t>
      </w:r>
      <w:r>
        <w:t xml:space="preserve"> jednotky je jedním ze způsobů maření te</w:t>
      </w:r>
      <w:r w:rsidR="00041772">
        <w:t xml:space="preserve">pla za současné produkce chladu. Z důvodu </w:t>
      </w:r>
      <w:r w:rsidR="006D25F8">
        <w:t xml:space="preserve">nedostatečné emisní rezervy je </w:t>
      </w:r>
      <w:r w:rsidR="006D25F8" w:rsidRPr="006D25F8">
        <w:rPr>
          <w:b/>
        </w:rPr>
        <w:t>provoz kogenerační jednotky za účelem provozu absorpční jednotky (maření tepla) vyloučen</w:t>
      </w:r>
      <w:r w:rsidR="006D25F8">
        <w:t xml:space="preserve"> (viz kap. </w:t>
      </w:r>
      <w:r w:rsidR="006D25F8">
        <w:fldChar w:fldCharType="begin"/>
      </w:r>
      <w:r w:rsidR="006D25F8">
        <w:instrText xml:space="preserve"> REF _Ref58241424 \r \h </w:instrText>
      </w:r>
      <w:r w:rsidR="006D25F8">
        <w:fldChar w:fldCharType="separate"/>
      </w:r>
      <w:r w:rsidR="00816426">
        <w:t>4.1.5</w:t>
      </w:r>
      <w:r w:rsidR="006D25F8">
        <w:fldChar w:fldCharType="end"/>
      </w:r>
      <w:r w:rsidR="006D25F8">
        <w:t xml:space="preserve">). </w:t>
      </w:r>
    </w:p>
    <w:p w:rsidR="00A71C3D" w:rsidRDefault="00AD6C6D" w:rsidP="00A71C3D">
      <w:pPr>
        <w:pStyle w:val="Nadpis3"/>
      </w:pPr>
      <w:bookmarkStart w:id="67" w:name="_Toc58949356"/>
      <w:r>
        <w:t>Nároky na prostor pro nastěhování (absorpční jednotka)</w:t>
      </w:r>
      <w:bookmarkEnd w:id="67"/>
    </w:p>
    <w:p w:rsidR="00A71C3D" w:rsidRDefault="00A71C3D" w:rsidP="009C3B91">
      <w:r>
        <w:t>Pro nastěhování zařízení (KGJ a absorpční chlazení) je k</w:t>
      </w:r>
      <w:r w:rsidR="00AD6C6D">
        <w:t> </w:t>
      </w:r>
      <w:r>
        <w:t>dispozici</w:t>
      </w:r>
      <w:r w:rsidR="00AD6C6D">
        <w:t xml:space="preserve"> již </w:t>
      </w:r>
      <w:r w:rsidR="00AD6C6D" w:rsidRPr="00AD6C6D">
        <w:t>zmíněn</w:t>
      </w:r>
      <w:r w:rsidR="00AD6C6D">
        <w:t>ý</w:t>
      </w:r>
      <w:r w:rsidRPr="00AD6C6D">
        <w:t xml:space="preserve"> montážní otvor 2</w:t>
      </w:r>
      <w:r w:rsidR="00EB4EE4" w:rsidRPr="00AD6C6D">
        <w:t>,4 </w:t>
      </w:r>
      <w:r w:rsidRPr="00AD6C6D">
        <w:t>×</w:t>
      </w:r>
      <w:r w:rsidR="00EB4EE4" w:rsidRPr="00AD6C6D">
        <w:t> </w:t>
      </w:r>
      <w:r w:rsidRPr="00AD6C6D">
        <w:t>2</w:t>
      </w:r>
      <w:r w:rsidR="00EB4EE4" w:rsidRPr="00AD6C6D">
        <w:t>,4 </w:t>
      </w:r>
      <w:r w:rsidRPr="00AD6C6D">
        <w:t>m v podlaží 1S. Při ověření možnosti instalace absorpčního chlaze</w:t>
      </w:r>
      <w:r>
        <w:t xml:space="preserve">ní </w:t>
      </w:r>
      <w:r w:rsidR="008C2709">
        <w:t xml:space="preserve">(400 kW) </w:t>
      </w:r>
      <w:r>
        <w:t xml:space="preserve">využívající topnou vodu z KGJ (teplotní spád 90/70 °C) vyšly vnější rozměry největší části absorpční jednotky </w:t>
      </w:r>
      <w:r w:rsidR="008C2709">
        <w:t>3,7</w:t>
      </w:r>
      <w:r w:rsidR="00EB4EE4">
        <w:t> </w:t>
      </w:r>
      <w:r w:rsidR="008C2709">
        <w:t>×</w:t>
      </w:r>
      <w:r w:rsidR="00EB4EE4">
        <w:t> </w:t>
      </w:r>
      <w:r w:rsidR="008C2709">
        <w:t>1,8</w:t>
      </w:r>
      <w:r w:rsidR="00EB4EE4">
        <w:t> </w:t>
      </w:r>
      <w:r w:rsidR="008C2709">
        <w:t>×</w:t>
      </w:r>
      <w:r w:rsidR="00EB4EE4">
        <w:t> </w:t>
      </w:r>
      <w:r w:rsidR="008C2709">
        <w:t xml:space="preserve">2,1 m – </w:t>
      </w:r>
      <w:r w:rsidR="008C2709" w:rsidRPr="00E37677">
        <w:t xml:space="preserve">viz </w:t>
      </w:r>
      <w:r w:rsidR="00E37677" w:rsidRPr="00E37677">
        <w:fldChar w:fldCharType="begin"/>
      </w:r>
      <w:r w:rsidR="00E37677" w:rsidRPr="00E37677">
        <w:instrText xml:space="preserve"> REF _Ref56063960 \h  \* MERGEFORMAT </w:instrText>
      </w:r>
      <w:r w:rsidR="00E37677" w:rsidRPr="00E37677">
        <w:fldChar w:fldCharType="separate"/>
      </w:r>
      <w:r w:rsidR="00816426">
        <w:t xml:space="preserve">Obr. </w:t>
      </w:r>
      <w:r w:rsidR="00816426">
        <w:rPr>
          <w:noProof/>
        </w:rPr>
        <w:t>9</w:t>
      </w:r>
      <w:r w:rsidR="00E37677" w:rsidRPr="00E37677">
        <w:fldChar w:fldCharType="end"/>
      </w:r>
      <w:r w:rsidR="00E37677">
        <w:t xml:space="preserve"> </w:t>
      </w:r>
      <w:r w:rsidR="008C2709">
        <w:t xml:space="preserve">(hmotnost 4,8 t). </w:t>
      </w:r>
      <w:r w:rsidR="008C2709" w:rsidRPr="006D25F8">
        <w:rPr>
          <w:b/>
        </w:rPr>
        <w:t>Doprava této jednotky</w:t>
      </w:r>
      <w:r w:rsidR="006D25F8">
        <w:rPr>
          <w:rStyle w:val="Znakapoznpodarou"/>
          <w:b/>
        </w:rPr>
        <w:footnoteReference w:id="2"/>
      </w:r>
      <w:r w:rsidR="008C2709" w:rsidRPr="006D25F8">
        <w:rPr>
          <w:b/>
        </w:rPr>
        <w:t xml:space="preserve"> do prostoru kotelny</w:t>
      </w:r>
      <w:r w:rsidR="008C2709">
        <w:t xml:space="preserve"> byla vyhodnocena jako </w:t>
      </w:r>
      <w:r w:rsidR="008C2709" w:rsidRPr="008C2709">
        <w:rPr>
          <w:b/>
        </w:rPr>
        <w:t>nerealizovatelná</w:t>
      </w:r>
      <w:r w:rsidR="0018107B">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3A75AF" w:rsidTr="0089663D">
        <w:tc>
          <w:tcPr>
            <w:tcW w:w="9212" w:type="dxa"/>
          </w:tcPr>
          <w:p w:rsidR="003A75AF" w:rsidRDefault="003A75AF" w:rsidP="00D33DF3">
            <w:pPr>
              <w:keepNext/>
              <w:jc w:val="center"/>
            </w:pPr>
            <w:r>
              <w:rPr>
                <w:noProof/>
                <w:lang w:eastAsia="cs-CZ"/>
              </w:rPr>
              <w:drawing>
                <wp:inline distT="0" distB="0" distL="0" distR="0" wp14:anchorId="03AB2E46" wp14:editId="591AE7BA">
                  <wp:extent cx="5319473" cy="206692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26522" cy="2069664"/>
                          </a:xfrm>
                          <a:prstGeom prst="rect">
                            <a:avLst/>
                          </a:prstGeom>
                        </pic:spPr>
                      </pic:pic>
                    </a:graphicData>
                  </a:graphic>
                </wp:inline>
              </w:drawing>
            </w:r>
          </w:p>
        </w:tc>
      </w:tr>
      <w:tr w:rsidR="003A75AF" w:rsidTr="0089663D">
        <w:tc>
          <w:tcPr>
            <w:tcW w:w="9212" w:type="dxa"/>
            <w:vAlign w:val="center"/>
          </w:tcPr>
          <w:p w:rsidR="003A75AF" w:rsidRPr="003A75AF" w:rsidRDefault="003A75AF" w:rsidP="000028F2">
            <w:pPr>
              <w:pStyle w:val="Obrzek"/>
              <w:keepNext w:val="0"/>
            </w:pPr>
            <w:bookmarkStart w:id="68" w:name="_Ref56063960"/>
            <w:r>
              <w:t xml:space="preserve">Obr. </w:t>
            </w:r>
            <w:fldSimple w:instr=" SEQ Obr. \* ARABIC ">
              <w:r w:rsidR="00816426">
                <w:rPr>
                  <w:noProof/>
                </w:rPr>
                <w:t>9</w:t>
              </w:r>
            </w:fldSimple>
            <w:bookmarkEnd w:id="68"/>
            <w:r>
              <w:t xml:space="preserve"> Největší část absorpční jednotky </w:t>
            </w:r>
            <w:r>
              <w:rPr>
                <w:lang w:val="en-US"/>
              </w:rPr>
              <w:t>[3]</w:t>
            </w:r>
          </w:p>
        </w:tc>
      </w:tr>
    </w:tbl>
    <w:p w:rsidR="006D25F8" w:rsidRDefault="00F01C32" w:rsidP="006D25F8">
      <w:r>
        <w:t xml:space="preserve">Byla posuzována také možnost instalace absorpční jednotky, která využívá ke svému provozu spaliny (vysokopotenciální teplo). Tato varianta byla zamítnuta z důvodu, že kogenerační jednotka, která splňuje všechny požadavky, není schopna poskytnout minimální požadované množství </w:t>
      </w:r>
      <w:r w:rsidR="006C35C7">
        <w:t>spalinového tepla</w:t>
      </w:r>
      <w:r>
        <w:t xml:space="preserve"> pro provoz této jednotky.</w:t>
      </w:r>
    </w:p>
    <w:p w:rsidR="006D25F8" w:rsidRDefault="006D25F8" w:rsidP="006D25F8">
      <w:pPr>
        <w:pStyle w:val="Nadpis3"/>
      </w:pPr>
      <w:bookmarkStart w:id="69" w:name="_Toc58949357"/>
      <w:r>
        <w:t>Nároky na prostor pro nastěhování (chlad</w:t>
      </w:r>
      <w:r w:rsidR="00F01C32">
        <w:t>icí věže)</w:t>
      </w:r>
      <w:bookmarkEnd w:id="69"/>
    </w:p>
    <w:p w:rsidR="00B91E2E" w:rsidRPr="00B91E2E" w:rsidRDefault="006C35C7" w:rsidP="00B91E2E">
      <w:r>
        <w:t>Další součástí</w:t>
      </w:r>
      <w:r w:rsidR="004206E3">
        <w:t xml:space="preserve"> systému absorpčního chlazení je chladicí věž. Její rozměry jsou 4,1 × 3,6 × 5,2 m. Přepravní hmotnost je 5,5 t. Šířka, ale především výška jsou nepřijatelné pro její umístění na střechu. Konstrukce by zasahovala do stávající ocelové pergoly a výškově by převyšovala chladicí jednotky o téměř 3 m</w:t>
      </w:r>
      <w:r>
        <w:t>, což by bylo v rozporu s koncepcí odboru Památkové péče a Národního památkového ústavu</w:t>
      </w:r>
      <w:r w:rsidR="004206E3">
        <w:t xml:space="preserve">. </w:t>
      </w:r>
      <w:r w:rsidR="004206E3" w:rsidRPr="004206E3">
        <w:rPr>
          <w:b/>
        </w:rPr>
        <w:t>Instalace chladicích věží na střechu</w:t>
      </w:r>
      <w:r w:rsidR="004206E3">
        <w:t xml:space="preserve"> byla vyhodnocena jako </w:t>
      </w:r>
      <w:r w:rsidR="004206E3" w:rsidRPr="004206E3">
        <w:rPr>
          <w:b/>
        </w:rPr>
        <w:t>nerealizovatelná</w:t>
      </w:r>
      <w:r w:rsidR="004206E3">
        <w:t>.</w:t>
      </w:r>
    </w:p>
    <w:p w:rsidR="00F01C32" w:rsidRDefault="004206E3" w:rsidP="004206E3">
      <w:pPr>
        <w:pStyle w:val="Nadpis3"/>
      </w:pPr>
      <w:bookmarkStart w:id="70" w:name="_Toc58949358"/>
      <w:r>
        <w:t>Varianta A – dodatečná kritéria – závěr</w:t>
      </w:r>
      <w:bookmarkEnd w:id="70"/>
    </w:p>
    <w:p w:rsidR="004206E3" w:rsidRPr="00780F7A" w:rsidRDefault="004206E3" w:rsidP="004206E3">
      <w:pPr>
        <w:rPr>
          <w:b/>
        </w:rPr>
      </w:pPr>
      <w:r>
        <w:t>Varianta A byla ze tří výše uvedených důvodů vyhodnocena jako nerealizovatelná. U</w:t>
      </w:r>
      <w:r w:rsidR="00780F7A">
        <w:t xml:space="preserve">vedenými důvody jsou překročení emisního stropu při provozu absorpční jednotky, nemožnost nastěhování absorpční jednotky a rozměry chladicí věže na střeše. </w:t>
      </w:r>
      <w:r w:rsidR="00780F7A" w:rsidRPr="00780F7A">
        <w:rPr>
          <w:b/>
        </w:rPr>
        <w:t>Tato varianta tedy v dalších kapitolách nebude více popisována.</w:t>
      </w:r>
    </w:p>
    <w:p w:rsidR="0089662C" w:rsidRDefault="0089662C" w:rsidP="0089662C">
      <w:pPr>
        <w:pStyle w:val="Nadpis2"/>
      </w:pPr>
      <w:bookmarkStart w:id="71" w:name="_Toc58949359"/>
      <w:r>
        <w:t xml:space="preserve">Varianta B – </w:t>
      </w:r>
      <w:r w:rsidR="00780F7A">
        <w:t>dodatečná kritéria</w:t>
      </w:r>
      <w:bookmarkEnd w:id="71"/>
    </w:p>
    <w:p w:rsidR="003D509E" w:rsidRDefault="00B00754" w:rsidP="003D509E">
      <w:r>
        <w:t>Instalace kogenerační jednotky představuje společnou výrobu tepla a elektrické energie. Kompresorová chladicí jednotka umožní výrobu chladu.</w:t>
      </w:r>
    </w:p>
    <w:p w:rsidR="00B00754" w:rsidRDefault="00B00754" w:rsidP="003D509E">
      <w:r>
        <w:t xml:space="preserve">Velikost </w:t>
      </w:r>
      <w:r w:rsidR="004A4821">
        <w:t>blokové</w:t>
      </w:r>
      <w:r>
        <w:t xml:space="preserve"> chladicí jednotky </w:t>
      </w:r>
      <w:r w:rsidR="004A4821">
        <w:t xml:space="preserve">(dále jen „BCHJ“) </w:t>
      </w:r>
      <w:r>
        <w:t>je volena tak, aby splnila požadavek na 400 kW chladicího výkonu v</w:t>
      </w:r>
      <w:r w:rsidR="004A4821">
        <w:t> </w:t>
      </w:r>
      <w:r>
        <w:t>létě</w:t>
      </w:r>
      <w:r w:rsidR="004A4821">
        <w:t xml:space="preserve">. Volba velikosti kogenerační jednotky je nezávislá na výkonových možnostech BCHJ. </w:t>
      </w:r>
    </w:p>
    <w:p w:rsidR="004A4821" w:rsidRDefault="004A4821" w:rsidP="004A4821">
      <w:r>
        <w:t>Při instalaci KGJ do kotelny</w:t>
      </w:r>
      <w:r w:rsidR="00051EF3">
        <w:t xml:space="preserve"> 1</w:t>
      </w:r>
      <w:r>
        <w:t xml:space="preserve"> v místnosti 3S302B by bylo nutné demontovat </w:t>
      </w:r>
      <w:r w:rsidR="00EB4EE4">
        <w:t>dva kotle</w:t>
      </w:r>
      <w:r>
        <w:t>. To by však nemělo způsobit přerušení v dodávce tepla pro vytápění a ohřev TV, neboť dodávka tepla je zajištěna střídavě druhou kotelnou v místnosti 3S501, která by obstarala dodávku tepla v průběhu rekonstrukce.</w:t>
      </w:r>
    </w:p>
    <w:p w:rsidR="00051EF3" w:rsidRDefault="00051EF3" w:rsidP="004A4821">
      <w:r>
        <w:t>Kotelna 1 (3S302B) byla před kotelnou 2 (3S501) pro instalaci kogenerační jednotky upřednostněna z důvodu snadnější dopravy dílů KGJ (kotelna 1 se nachází v těsné blízkosti montážního otvoru). Dále z důvodu, že se v ní nachází kotel K2, vykazující nejvyšší naměřené hodnoty NOX ve spalinách, s jehož demontáží je ve studii počítáno (viz dále).</w:t>
      </w:r>
    </w:p>
    <w:p w:rsidR="00001D8F" w:rsidRDefault="00001D8F" w:rsidP="00001D8F">
      <w:r>
        <w:t>K omezení provozu nedojde ani při instalaci nového zdroje chladu, neboť se dle konzultací předpokládá, že bude zásobovat zcela nové větve chlazení (pro administrativní prostory)</w:t>
      </w:r>
      <w:r w:rsidR="000E2506">
        <w:t>, které budou zbudovány těsně před instalací jednotky</w:t>
      </w:r>
      <w:r>
        <w:t>.</w:t>
      </w:r>
    </w:p>
    <w:p w:rsidR="00001D8F" w:rsidRDefault="00001D8F" w:rsidP="00001D8F">
      <w:pPr>
        <w:rPr>
          <w:b/>
        </w:rPr>
      </w:pPr>
      <w:r w:rsidRPr="009C3B91">
        <w:rPr>
          <w:b/>
        </w:rPr>
        <w:t xml:space="preserve">Vzhledem k výše uvedenému není zapotřebí členit instalaci na více etap a není zapotřebí budovat ani provizorní trasy. </w:t>
      </w:r>
    </w:p>
    <w:p w:rsidR="00001D8F" w:rsidRDefault="00780F7A" w:rsidP="00001D8F">
      <w:pPr>
        <w:pStyle w:val="Nadpis3"/>
      </w:pPr>
      <w:bookmarkStart w:id="72" w:name="_Toc58949360"/>
      <w:r>
        <w:t>Nároky na prostor pro nastěhování (</w:t>
      </w:r>
      <w:r w:rsidR="00914D75">
        <w:t>bloková</w:t>
      </w:r>
      <w:r>
        <w:t xml:space="preserve"> chladicí jednotka)</w:t>
      </w:r>
      <w:bookmarkEnd w:id="72"/>
    </w:p>
    <w:p w:rsidR="00546050" w:rsidRPr="00A25141" w:rsidRDefault="00A25141" w:rsidP="00001D8F">
      <w:r>
        <w:t xml:space="preserve">S nastěhováním blokové chladicí jednotky je uvažováno na střeše v prostoru 5P340 (viz dříve </w:t>
      </w:r>
      <w:r>
        <w:fldChar w:fldCharType="begin"/>
      </w:r>
      <w:r>
        <w:instrText xml:space="preserve"> REF _Ref56064033 \h </w:instrText>
      </w:r>
      <w:r>
        <w:fldChar w:fldCharType="separate"/>
      </w:r>
      <w:r w:rsidR="00816426">
        <w:t xml:space="preserve">Obr. </w:t>
      </w:r>
      <w:r w:rsidR="00816426">
        <w:rPr>
          <w:noProof/>
        </w:rPr>
        <w:t>3</w:t>
      </w:r>
      <w:r>
        <w:fldChar w:fldCharType="end"/>
      </w:r>
      <w:r w:rsidR="00232F07">
        <w:t xml:space="preserve">). Možnosti a specifika transportu blokové chladicí jednotky </w:t>
      </w:r>
      <w:r w:rsidR="00477A65">
        <w:t>jsou uvedeny dále</w:t>
      </w:r>
      <w:r w:rsidR="0087658E">
        <w:t>.</w:t>
      </w:r>
    </w:p>
    <w:p w:rsidR="00232F07" w:rsidRDefault="00780F7A" w:rsidP="00780F7A">
      <w:pPr>
        <w:pStyle w:val="Nadpis3"/>
      </w:pPr>
      <w:bookmarkStart w:id="73" w:name="_Toc58949361"/>
      <w:r>
        <w:t>Varianta B – dodatečná kritéria – závěr</w:t>
      </w:r>
      <w:bookmarkEnd w:id="73"/>
      <w:r>
        <w:t xml:space="preserve"> </w:t>
      </w:r>
    </w:p>
    <w:p w:rsidR="00780F7A" w:rsidRPr="00780F7A" w:rsidRDefault="00780F7A" w:rsidP="00780F7A">
      <w:pPr>
        <w:rPr>
          <w:b/>
        </w:rPr>
      </w:pPr>
      <w:r w:rsidRPr="00780F7A">
        <w:rPr>
          <w:b/>
        </w:rPr>
        <w:t>Varianta B nebyla zamítnuta a bude rozpracována v dalších kapitolách.</w:t>
      </w:r>
    </w:p>
    <w:p w:rsidR="00B416F0" w:rsidRDefault="00B416F0" w:rsidP="0087658E">
      <w:pPr>
        <w:pStyle w:val="Nadpis1"/>
      </w:pPr>
      <w:bookmarkStart w:id="74" w:name="_Toc58949362"/>
      <w:r>
        <w:t>TECHNICKÉ A TECHNOLOGICKÉ ŘEŠENÍ PROJEKTU</w:t>
      </w:r>
      <w:bookmarkEnd w:id="74"/>
    </w:p>
    <w:p w:rsidR="00B416F0" w:rsidRPr="00B416F0" w:rsidRDefault="00B416F0" w:rsidP="00B416F0">
      <w:r>
        <w:t>Vzhledem ke skutečnosti, že realizace varianty A byla označena za nerealizovatelnou, bude tato kapitola zpracována pouze pro variantu B.</w:t>
      </w:r>
      <w:r w:rsidR="002573DC">
        <w:t xml:space="preserve"> </w:t>
      </w:r>
    </w:p>
    <w:p w:rsidR="00404611" w:rsidRDefault="007364A6" w:rsidP="007364A6">
      <w:pPr>
        <w:pStyle w:val="Nadpis2"/>
      </w:pPr>
      <w:bookmarkStart w:id="75" w:name="_Toc58949363"/>
      <w:r>
        <w:t>Varianta B</w:t>
      </w:r>
      <w:r w:rsidR="00914F1B">
        <w:t xml:space="preserve"> – KGJ + bloková chladicí jednotka</w:t>
      </w:r>
      <w:bookmarkEnd w:id="75"/>
    </w:p>
    <w:p w:rsidR="007364A6" w:rsidRDefault="00370BDE" w:rsidP="00370BDE">
      <w:pPr>
        <w:pStyle w:val="Nadpis3"/>
      </w:pPr>
      <w:bookmarkStart w:id="76" w:name="_Toc58949364"/>
      <w:r>
        <w:t>Parametry KGJ, investiční náklady</w:t>
      </w:r>
      <w:bookmarkEnd w:id="76"/>
    </w:p>
    <w:p w:rsidR="004752E0" w:rsidRDefault="004752E0" w:rsidP="00197243">
      <w:pPr>
        <w:rPr>
          <w:b/>
        </w:rPr>
      </w:pPr>
      <w:r w:rsidRPr="004879B0">
        <w:rPr>
          <w:b/>
        </w:rPr>
        <w:t>Vybrána byla kogenerační jednotka, která jako jediná ze zkoumaných kogeneračních jednotek splňovala požadavky na nízké emise.</w:t>
      </w:r>
      <w:r w:rsidR="00E01B4F" w:rsidRPr="004879B0">
        <w:rPr>
          <w:b/>
        </w:rPr>
        <w:t xml:space="preserve"> Seznam zkoumaných kogeneračních jednotek je součástí příloh (viz </w:t>
      </w:r>
      <w:r w:rsidR="004879B0" w:rsidRPr="004879B0">
        <w:rPr>
          <w:b/>
        </w:rPr>
        <w:fldChar w:fldCharType="begin"/>
      </w:r>
      <w:r w:rsidR="004879B0" w:rsidRPr="004879B0">
        <w:rPr>
          <w:b/>
        </w:rPr>
        <w:instrText xml:space="preserve"> REF _Ref58836121 \h  \* MERGEFORMAT </w:instrText>
      </w:r>
      <w:r w:rsidR="004879B0" w:rsidRPr="004879B0">
        <w:rPr>
          <w:b/>
        </w:rPr>
      </w:r>
      <w:r w:rsidR="004879B0" w:rsidRPr="004879B0">
        <w:rPr>
          <w:b/>
        </w:rPr>
        <w:fldChar w:fldCharType="separate"/>
      </w:r>
      <w:r w:rsidR="00816426" w:rsidRPr="00816426">
        <w:rPr>
          <w:b/>
        </w:rPr>
        <w:t xml:space="preserve">Příloha č. </w:t>
      </w:r>
      <w:r w:rsidR="00816426" w:rsidRPr="00816426">
        <w:rPr>
          <w:b/>
          <w:noProof/>
        </w:rPr>
        <w:t>30</w:t>
      </w:r>
      <w:r w:rsidR="004879B0" w:rsidRPr="004879B0">
        <w:rPr>
          <w:b/>
        </w:rPr>
        <w:fldChar w:fldCharType="end"/>
      </w:r>
      <w:r w:rsidR="00E01B4F" w:rsidRPr="004879B0">
        <w:rPr>
          <w:b/>
        </w:rPr>
        <w:t>).</w:t>
      </w:r>
      <w:r w:rsidRPr="004879B0">
        <w:rPr>
          <w:b/>
        </w:rPr>
        <w:t xml:space="preserve"> </w:t>
      </w:r>
      <w:r w:rsidR="000676F9" w:rsidRPr="004879B0">
        <w:rPr>
          <w:b/>
        </w:rPr>
        <w:t>Její elektrický výkon je plně upotřebitelný v rámci budovy a tepelný výkon umožňuje využití tepla v budově při provozu 3</w:t>
      </w:r>
      <w:r w:rsidR="000E2506" w:rsidRPr="004879B0">
        <w:rPr>
          <w:b/>
        </w:rPr>
        <w:t> </w:t>
      </w:r>
      <w:r w:rsidR="000676F9" w:rsidRPr="004879B0">
        <w:rPr>
          <w:b/>
        </w:rPr>
        <w:t>000 h, což je jeden z režimů podporovaný v rámci kombinované výroby tepla a elektřiny (viz dále).</w:t>
      </w:r>
    </w:p>
    <w:p w:rsidR="009014CE" w:rsidRPr="009014CE" w:rsidRDefault="009014CE" w:rsidP="009014CE">
      <w:pPr>
        <w:pBdr>
          <w:top w:val="single" w:sz="12" w:space="1" w:color="auto"/>
          <w:bottom w:val="single" w:sz="12" w:space="1" w:color="auto"/>
        </w:pBdr>
        <w:rPr>
          <w:b/>
          <w:i/>
        </w:rPr>
      </w:pPr>
      <w:r w:rsidRPr="009014CE">
        <w:rPr>
          <w:b/>
          <w:i/>
        </w:rPr>
        <w:t>SCR technologie (selektivní katalytická redukce)</w:t>
      </w:r>
    </w:p>
    <w:p w:rsidR="009014CE" w:rsidRPr="009014CE" w:rsidRDefault="009014CE" w:rsidP="009014CE">
      <w:pPr>
        <w:pBdr>
          <w:top w:val="single" w:sz="12" w:space="1" w:color="auto"/>
          <w:bottom w:val="single" w:sz="12" w:space="1" w:color="auto"/>
        </w:pBdr>
        <w:rPr>
          <w:b/>
          <w:i/>
        </w:rPr>
      </w:pPr>
      <w:r w:rsidRPr="009014CE">
        <w:rPr>
          <w:i/>
        </w:rPr>
        <w:t>Z důvodu horší finanční návratnosti nebyly zkoumány jednotky využívající technologii SCR, resp. byly ve výběru upřednostněny jednotky, u nichž lze dosáhnout potřebných emisí i bez této technologie.</w:t>
      </w:r>
      <w:r>
        <w:rPr>
          <w:i/>
        </w:rPr>
        <w:t xml:space="preserve"> Jedná se o technologii, která umožňuje snížit emise NO</w:t>
      </w:r>
      <w:r w:rsidRPr="009014CE">
        <w:rPr>
          <w:i/>
          <w:vertAlign w:val="subscript"/>
        </w:rPr>
        <w:t>X</w:t>
      </w:r>
      <w:r w:rsidR="005513DD">
        <w:rPr>
          <w:i/>
        </w:rPr>
        <w:t xml:space="preserve"> ve výfukových plynech</w:t>
      </w:r>
      <w:r>
        <w:rPr>
          <w:i/>
        </w:rPr>
        <w:t xml:space="preserve"> pomocí vstřikování močoviny typu AdBlue.</w:t>
      </w:r>
    </w:p>
    <w:p w:rsidR="00197243" w:rsidRDefault="00197243" w:rsidP="00197243">
      <w:r>
        <w:t xml:space="preserve">Navrženou kogenerační jednotkou (viz </w:t>
      </w:r>
      <w:r>
        <w:fldChar w:fldCharType="begin"/>
      </w:r>
      <w:r>
        <w:instrText xml:space="preserve"> REF _Ref56333514 \h </w:instrText>
      </w:r>
      <w:r>
        <w:fldChar w:fldCharType="separate"/>
      </w:r>
      <w:r w:rsidR="00816426">
        <w:t xml:space="preserve">Obr. </w:t>
      </w:r>
      <w:r w:rsidR="00816426">
        <w:rPr>
          <w:noProof/>
        </w:rPr>
        <w:t>10</w:t>
      </w:r>
      <w:r>
        <w:fldChar w:fldCharType="end"/>
      </w:r>
      <w:r>
        <w:t>) je jednotka</w:t>
      </w:r>
      <w:r w:rsidR="00E01B4F">
        <w:t xml:space="preserve"> Viessmann VITOBLOC 200 typ EM-260/390</w:t>
      </w:r>
      <w:r>
        <w:t xml:space="preserve"> s elektrickým výkonem 263 kW, tepelným výkonem 390 kW a příkonem v palivu 693 kW. Obecné technické parametry jsou shrnuty v </w:t>
      </w:r>
      <w:r>
        <w:fldChar w:fldCharType="begin"/>
      </w:r>
      <w:r>
        <w:instrText xml:space="preserve"> REF _Ref56333707 \h </w:instrText>
      </w:r>
      <w:r>
        <w:fldChar w:fldCharType="separate"/>
      </w:r>
      <w:r w:rsidR="00816426">
        <w:t xml:space="preserve">Tab. </w:t>
      </w:r>
      <w:r w:rsidR="00816426">
        <w:rPr>
          <w:noProof/>
        </w:rPr>
        <w:t>7</w:t>
      </w:r>
      <w:r>
        <w:fldChar w:fldCharType="end"/>
      </w:r>
      <w:r>
        <w:t>.</w:t>
      </w:r>
    </w:p>
    <w:p w:rsidR="0087658E" w:rsidRDefault="0087658E" w:rsidP="0087658E">
      <w:r>
        <w:t xml:space="preserve">Navržená kogenerační jednotka spadá dle ERÚ (podpora pro podporované zdroje energie) </w:t>
      </w:r>
      <w:r>
        <w:rPr>
          <w:lang w:val="en-US"/>
        </w:rPr>
        <w:t>[2]</w:t>
      </w:r>
      <w:r>
        <w:t xml:space="preserve"> svým výkonem mezi jednotky, u nichž platí nižší sazba podpory za 1 MWh vyrobené elektrické energie. To však bude částečně vykompenzováno zisky z vyššího množství vyrobené elektrické energie. </w:t>
      </w:r>
    </w:p>
    <w:p w:rsidR="0087658E" w:rsidRDefault="0087658E" w:rsidP="0087658E">
      <w:r>
        <w:t>Pořizovací cena kogenerační jednotky činí přibližně 4,5 mil. Kč</w:t>
      </w:r>
      <w:r w:rsidR="000E2506">
        <w:t xml:space="preserve"> bez DPH</w:t>
      </w:r>
      <w:r>
        <w:t>. Další investiční náklady, specifikované ve finanční analýze, souvisejí s napojením kogenerační jednotky na stávající systém, instalací akumulačních nádob, vybudováním nového odkouření, úpravou větrání, vyvedením elektrického výkonu apod. (bude specifikováno v dalších podkapitolách). Generální oprava KGJ je po dosažení 50 tis. m</w:t>
      </w:r>
      <w:r w:rsidR="000E2506">
        <w:t>th</w:t>
      </w:r>
      <w:r>
        <w:t>. Životnost je podle výrobce možná až 80</w:t>
      </w:r>
      <w:r w:rsidR="000E2506">
        <w:t> </w:t>
      </w:r>
      <w:r>
        <w:t>tis.</w:t>
      </w:r>
      <w:r w:rsidR="000E2506">
        <w:t> </w:t>
      </w:r>
      <w:r>
        <w:t>m</w:t>
      </w:r>
      <w:r w:rsidR="000E2506">
        <w:t>th</w:t>
      </w:r>
      <w:r>
        <w:t xml:space="preserve">. </w:t>
      </w:r>
    </w:p>
    <w:p w:rsidR="00197243" w:rsidRPr="007A58B6" w:rsidRDefault="00197243" w:rsidP="0087658E">
      <w:pPr>
        <w:pStyle w:val="Tabulka"/>
      </w:pPr>
      <w:bookmarkStart w:id="77" w:name="_Ref56333707"/>
      <w:r>
        <w:t xml:space="preserve">Tab. </w:t>
      </w:r>
      <w:fldSimple w:instr=" SEQ Tab. \* ARABIC ">
        <w:r w:rsidR="00816426">
          <w:rPr>
            <w:noProof/>
          </w:rPr>
          <w:t>7</w:t>
        </w:r>
      </w:fldSimple>
      <w:bookmarkEnd w:id="77"/>
      <w:r>
        <w:t xml:space="preserve"> Parametry navržené kogenerační jednotky</w:t>
      </w:r>
      <w:r w:rsidR="00E01B4F">
        <w:t xml:space="preserve"> Viessmann VITOBLOC 200 typ EM-260/390</w:t>
      </w:r>
      <w:r>
        <w:t xml:space="preserve"> </w:t>
      </w:r>
      <w:r>
        <w:rPr>
          <w:lang w:val="en-US"/>
        </w:rPr>
        <w:t>[6]</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6629"/>
        <w:gridCol w:w="1276"/>
        <w:gridCol w:w="1383"/>
      </w:tblGrid>
      <w:tr w:rsidR="00197243" w:rsidTr="00197243">
        <w:trPr>
          <w:trHeight w:val="397"/>
        </w:trPr>
        <w:tc>
          <w:tcPr>
            <w:tcW w:w="6629" w:type="dxa"/>
            <w:vAlign w:val="center"/>
          </w:tcPr>
          <w:p w:rsidR="00197243" w:rsidRDefault="00197243" w:rsidP="0087658E">
            <w:pPr>
              <w:keepNext/>
              <w:spacing w:before="0" w:after="0"/>
              <w:jc w:val="left"/>
            </w:pPr>
            <w:r>
              <w:t>Elektrický výkon</w:t>
            </w:r>
          </w:p>
        </w:tc>
        <w:tc>
          <w:tcPr>
            <w:tcW w:w="1276" w:type="dxa"/>
            <w:vAlign w:val="center"/>
          </w:tcPr>
          <w:p w:rsidR="00197243" w:rsidRPr="00A45C44" w:rsidRDefault="00197243" w:rsidP="0087658E">
            <w:pPr>
              <w:keepNext/>
              <w:spacing w:before="0" w:after="0"/>
              <w:jc w:val="center"/>
            </w:pPr>
            <w:r>
              <w:rPr>
                <w:lang w:val="en-US"/>
              </w:rPr>
              <w:t>[kW]</w:t>
            </w:r>
          </w:p>
        </w:tc>
        <w:tc>
          <w:tcPr>
            <w:tcW w:w="1383" w:type="dxa"/>
            <w:vAlign w:val="center"/>
          </w:tcPr>
          <w:p w:rsidR="00197243" w:rsidRDefault="00197243" w:rsidP="0087658E">
            <w:pPr>
              <w:keepNext/>
              <w:spacing w:before="0" w:after="0"/>
              <w:jc w:val="right"/>
            </w:pPr>
            <w:r>
              <w:t>263</w:t>
            </w:r>
          </w:p>
        </w:tc>
      </w:tr>
      <w:tr w:rsidR="00197243" w:rsidTr="00197243">
        <w:trPr>
          <w:trHeight w:val="397"/>
        </w:trPr>
        <w:tc>
          <w:tcPr>
            <w:tcW w:w="6629" w:type="dxa"/>
            <w:vAlign w:val="center"/>
          </w:tcPr>
          <w:p w:rsidR="00197243" w:rsidRDefault="00197243" w:rsidP="0087658E">
            <w:pPr>
              <w:keepNext/>
              <w:spacing w:before="0" w:after="0"/>
              <w:jc w:val="left"/>
            </w:pPr>
            <w:r>
              <w:t>Elektrická účinnost (vzhledem k příkonu v palivu)</w:t>
            </w:r>
          </w:p>
        </w:tc>
        <w:tc>
          <w:tcPr>
            <w:tcW w:w="1276" w:type="dxa"/>
            <w:vAlign w:val="center"/>
          </w:tcPr>
          <w:p w:rsidR="00197243" w:rsidRPr="00A45C44" w:rsidRDefault="00197243" w:rsidP="0087658E">
            <w:pPr>
              <w:keepNext/>
              <w:spacing w:before="0" w:after="0"/>
              <w:jc w:val="center"/>
              <w:rPr>
                <w:lang w:val="en-US"/>
              </w:rPr>
            </w:pPr>
            <w:r>
              <w:rPr>
                <w:lang w:val="en-US"/>
              </w:rPr>
              <w:t>[</w:t>
            </w:r>
            <w:r>
              <w:t>%</w:t>
            </w:r>
            <w:r>
              <w:rPr>
                <w:lang w:val="en-US"/>
              </w:rPr>
              <w:t>]</w:t>
            </w:r>
          </w:p>
        </w:tc>
        <w:tc>
          <w:tcPr>
            <w:tcW w:w="1383" w:type="dxa"/>
            <w:vAlign w:val="center"/>
          </w:tcPr>
          <w:p w:rsidR="00197243" w:rsidRDefault="00197243" w:rsidP="0087658E">
            <w:pPr>
              <w:keepNext/>
              <w:spacing w:before="0" w:after="0"/>
              <w:jc w:val="right"/>
            </w:pPr>
            <w:r>
              <w:t>38,0</w:t>
            </w:r>
          </w:p>
        </w:tc>
      </w:tr>
      <w:tr w:rsidR="00197243" w:rsidTr="00197243">
        <w:trPr>
          <w:trHeight w:val="397"/>
        </w:trPr>
        <w:tc>
          <w:tcPr>
            <w:tcW w:w="6629" w:type="dxa"/>
            <w:vAlign w:val="center"/>
          </w:tcPr>
          <w:p w:rsidR="00197243" w:rsidRDefault="00197243" w:rsidP="0087658E">
            <w:pPr>
              <w:keepNext/>
              <w:spacing w:before="0" w:after="0"/>
              <w:jc w:val="left"/>
            </w:pPr>
            <w:r>
              <w:t>Tepelný výkon</w:t>
            </w:r>
          </w:p>
        </w:tc>
        <w:tc>
          <w:tcPr>
            <w:tcW w:w="1276" w:type="dxa"/>
            <w:vAlign w:val="center"/>
          </w:tcPr>
          <w:p w:rsidR="00197243" w:rsidRPr="00A45C44" w:rsidRDefault="00197243" w:rsidP="0087658E">
            <w:pPr>
              <w:keepNext/>
              <w:spacing w:before="0" w:after="0"/>
              <w:jc w:val="center"/>
            </w:pPr>
            <w:r>
              <w:rPr>
                <w:lang w:val="en-US"/>
              </w:rPr>
              <w:t>[kW]</w:t>
            </w:r>
          </w:p>
        </w:tc>
        <w:tc>
          <w:tcPr>
            <w:tcW w:w="1383" w:type="dxa"/>
            <w:vAlign w:val="center"/>
          </w:tcPr>
          <w:p w:rsidR="00197243" w:rsidRDefault="00197243" w:rsidP="0087658E">
            <w:pPr>
              <w:keepNext/>
              <w:spacing w:before="0" w:after="0"/>
              <w:jc w:val="right"/>
            </w:pPr>
            <w:r>
              <w:t>390</w:t>
            </w:r>
          </w:p>
        </w:tc>
      </w:tr>
      <w:tr w:rsidR="00197243" w:rsidTr="00197243">
        <w:trPr>
          <w:trHeight w:val="397"/>
        </w:trPr>
        <w:tc>
          <w:tcPr>
            <w:tcW w:w="6629" w:type="dxa"/>
            <w:vAlign w:val="center"/>
          </w:tcPr>
          <w:p w:rsidR="00197243" w:rsidRDefault="00197243" w:rsidP="0087658E">
            <w:pPr>
              <w:keepNext/>
              <w:spacing w:before="0" w:after="0"/>
              <w:ind w:left="708" w:hanging="708"/>
              <w:jc w:val="left"/>
            </w:pPr>
            <w:r>
              <w:t>Tepelná účinnost (vzhledem k příkonu v palivu)</w:t>
            </w:r>
          </w:p>
        </w:tc>
        <w:tc>
          <w:tcPr>
            <w:tcW w:w="1276" w:type="dxa"/>
            <w:vAlign w:val="center"/>
          </w:tcPr>
          <w:p w:rsidR="00197243" w:rsidRPr="00A45C44" w:rsidRDefault="00197243" w:rsidP="0087658E">
            <w:pPr>
              <w:keepNext/>
              <w:spacing w:before="0" w:after="0"/>
              <w:jc w:val="center"/>
            </w:pPr>
            <w:r>
              <w:rPr>
                <w:lang w:val="en-US"/>
              </w:rPr>
              <w:t>[%]</w:t>
            </w:r>
          </w:p>
        </w:tc>
        <w:tc>
          <w:tcPr>
            <w:tcW w:w="1383" w:type="dxa"/>
            <w:vAlign w:val="center"/>
          </w:tcPr>
          <w:p w:rsidR="00197243" w:rsidRDefault="00197243" w:rsidP="0087658E">
            <w:pPr>
              <w:keepNext/>
              <w:spacing w:before="0" w:after="0"/>
              <w:jc w:val="right"/>
            </w:pPr>
            <w:r>
              <w:t>56,2</w:t>
            </w:r>
          </w:p>
        </w:tc>
      </w:tr>
      <w:tr w:rsidR="00197243" w:rsidTr="00197243">
        <w:trPr>
          <w:trHeight w:val="397"/>
        </w:trPr>
        <w:tc>
          <w:tcPr>
            <w:tcW w:w="6629" w:type="dxa"/>
            <w:vAlign w:val="center"/>
          </w:tcPr>
          <w:p w:rsidR="00197243" w:rsidRDefault="00197243" w:rsidP="0087658E">
            <w:pPr>
              <w:keepNext/>
              <w:spacing w:before="0" w:after="0"/>
              <w:jc w:val="left"/>
            </w:pPr>
            <w:r>
              <w:t>Příkon v palivu</w:t>
            </w:r>
          </w:p>
        </w:tc>
        <w:tc>
          <w:tcPr>
            <w:tcW w:w="1276" w:type="dxa"/>
            <w:vAlign w:val="center"/>
          </w:tcPr>
          <w:p w:rsidR="00197243" w:rsidRPr="00A45C44" w:rsidRDefault="00197243" w:rsidP="0087658E">
            <w:pPr>
              <w:keepNext/>
              <w:spacing w:before="0" w:after="0"/>
              <w:jc w:val="center"/>
            </w:pPr>
            <w:r>
              <w:rPr>
                <w:lang w:val="en-US"/>
              </w:rPr>
              <w:t>[kW]</w:t>
            </w:r>
          </w:p>
        </w:tc>
        <w:tc>
          <w:tcPr>
            <w:tcW w:w="1383" w:type="dxa"/>
            <w:vAlign w:val="center"/>
          </w:tcPr>
          <w:p w:rsidR="00197243" w:rsidRDefault="00197243" w:rsidP="0087658E">
            <w:pPr>
              <w:keepNext/>
              <w:spacing w:before="0" w:after="0"/>
              <w:jc w:val="right"/>
            </w:pPr>
            <w:r>
              <w:t>693</w:t>
            </w:r>
          </w:p>
        </w:tc>
      </w:tr>
      <w:tr w:rsidR="00197243" w:rsidTr="00197243">
        <w:trPr>
          <w:trHeight w:val="397"/>
        </w:trPr>
        <w:tc>
          <w:tcPr>
            <w:tcW w:w="6629" w:type="dxa"/>
            <w:vAlign w:val="center"/>
          </w:tcPr>
          <w:p w:rsidR="00197243" w:rsidRDefault="00197243" w:rsidP="0087658E">
            <w:pPr>
              <w:keepNext/>
              <w:spacing w:before="0" w:after="0"/>
              <w:jc w:val="left"/>
            </w:pPr>
            <w:r>
              <w:t>Celková účinnost</w:t>
            </w:r>
          </w:p>
        </w:tc>
        <w:tc>
          <w:tcPr>
            <w:tcW w:w="1276" w:type="dxa"/>
            <w:vAlign w:val="center"/>
          </w:tcPr>
          <w:p w:rsidR="00197243" w:rsidRPr="00A45C44" w:rsidRDefault="00197243" w:rsidP="0087658E">
            <w:pPr>
              <w:keepNext/>
              <w:spacing w:before="0" w:after="0"/>
              <w:jc w:val="center"/>
            </w:pPr>
            <w:r>
              <w:rPr>
                <w:lang w:val="en-US"/>
              </w:rPr>
              <w:t>[%]</w:t>
            </w:r>
          </w:p>
        </w:tc>
        <w:tc>
          <w:tcPr>
            <w:tcW w:w="1383" w:type="dxa"/>
            <w:vAlign w:val="center"/>
          </w:tcPr>
          <w:p w:rsidR="00197243" w:rsidRDefault="00197243" w:rsidP="0087658E">
            <w:pPr>
              <w:keepNext/>
              <w:spacing w:before="0" w:after="0"/>
              <w:jc w:val="right"/>
            </w:pPr>
            <w:r>
              <w:t>94,2</w:t>
            </w:r>
          </w:p>
        </w:tc>
      </w:tr>
      <w:tr w:rsidR="00197243" w:rsidTr="00197243">
        <w:trPr>
          <w:trHeight w:val="397"/>
        </w:trPr>
        <w:tc>
          <w:tcPr>
            <w:tcW w:w="6629" w:type="dxa"/>
            <w:vAlign w:val="center"/>
          </w:tcPr>
          <w:p w:rsidR="00197243" w:rsidRDefault="00197243" w:rsidP="0087658E">
            <w:pPr>
              <w:keepNext/>
              <w:spacing w:before="0" w:after="0"/>
              <w:jc w:val="left"/>
            </w:pPr>
            <w:r>
              <w:t>Jmenovitý teplotní spád</w:t>
            </w:r>
          </w:p>
        </w:tc>
        <w:tc>
          <w:tcPr>
            <w:tcW w:w="1276" w:type="dxa"/>
            <w:vAlign w:val="center"/>
          </w:tcPr>
          <w:p w:rsidR="00197243" w:rsidRPr="00A45C44" w:rsidRDefault="00197243" w:rsidP="0087658E">
            <w:pPr>
              <w:keepNext/>
              <w:spacing w:before="0" w:after="0"/>
              <w:jc w:val="center"/>
            </w:pPr>
            <w:r>
              <w:rPr>
                <w:lang w:val="en-US"/>
              </w:rPr>
              <w:t>[°C]</w:t>
            </w:r>
          </w:p>
        </w:tc>
        <w:tc>
          <w:tcPr>
            <w:tcW w:w="1383" w:type="dxa"/>
            <w:vAlign w:val="center"/>
          </w:tcPr>
          <w:p w:rsidR="00197243" w:rsidRDefault="00197243" w:rsidP="0087658E">
            <w:pPr>
              <w:keepNext/>
              <w:spacing w:before="0" w:after="0"/>
              <w:jc w:val="right"/>
            </w:pPr>
            <w:r>
              <w:t>90/70</w:t>
            </w:r>
          </w:p>
        </w:tc>
      </w:tr>
      <w:tr w:rsidR="00197243" w:rsidTr="00197243">
        <w:trPr>
          <w:trHeight w:val="397"/>
        </w:trPr>
        <w:tc>
          <w:tcPr>
            <w:tcW w:w="6629" w:type="dxa"/>
            <w:vAlign w:val="center"/>
          </w:tcPr>
          <w:p w:rsidR="00197243" w:rsidRDefault="00197243" w:rsidP="0087658E">
            <w:pPr>
              <w:keepNext/>
              <w:spacing w:before="0" w:after="0"/>
              <w:jc w:val="left"/>
            </w:pPr>
            <w:r>
              <w:t>Jmenovitý průtok</w:t>
            </w:r>
          </w:p>
        </w:tc>
        <w:tc>
          <w:tcPr>
            <w:tcW w:w="1276" w:type="dxa"/>
            <w:vAlign w:val="center"/>
          </w:tcPr>
          <w:p w:rsidR="00197243" w:rsidRPr="00A45C44" w:rsidRDefault="00197243" w:rsidP="0087658E">
            <w:pPr>
              <w:keepNext/>
              <w:spacing w:before="0" w:after="0"/>
              <w:jc w:val="center"/>
            </w:pPr>
            <w:r>
              <w:rPr>
                <w:lang w:val="en-US"/>
              </w:rPr>
              <w:t>[m</w:t>
            </w:r>
            <w:r w:rsidRPr="00A45C44">
              <w:rPr>
                <w:vertAlign w:val="superscript"/>
                <w:lang w:val="en-US"/>
              </w:rPr>
              <w:t>3</w:t>
            </w:r>
            <w:r>
              <w:rPr>
                <w:lang w:val="en-US"/>
              </w:rPr>
              <w:t>·h</w:t>
            </w:r>
            <w:r w:rsidRPr="00A45C44">
              <w:rPr>
                <w:vertAlign w:val="superscript"/>
                <w:lang w:val="en-US"/>
              </w:rPr>
              <w:t>-1</w:t>
            </w:r>
            <w:r>
              <w:rPr>
                <w:lang w:val="en-US"/>
              </w:rPr>
              <w:t>]</w:t>
            </w:r>
          </w:p>
        </w:tc>
        <w:tc>
          <w:tcPr>
            <w:tcW w:w="1383" w:type="dxa"/>
            <w:vAlign w:val="center"/>
          </w:tcPr>
          <w:p w:rsidR="00197243" w:rsidRDefault="00197243" w:rsidP="0087658E">
            <w:pPr>
              <w:keepNext/>
              <w:spacing w:before="0" w:after="0"/>
              <w:jc w:val="right"/>
            </w:pPr>
            <w:r>
              <w:t>20</w:t>
            </w:r>
          </w:p>
        </w:tc>
      </w:tr>
      <w:tr w:rsidR="00197243" w:rsidTr="00197243">
        <w:trPr>
          <w:trHeight w:val="397"/>
        </w:trPr>
        <w:tc>
          <w:tcPr>
            <w:tcW w:w="6629" w:type="dxa"/>
            <w:vAlign w:val="center"/>
          </w:tcPr>
          <w:p w:rsidR="00197243" w:rsidRDefault="00197243" w:rsidP="00197243">
            <w:pPr>
              <w:spacing w:before="0" w:after="0"/>
              <w:jc w:val="left"/>
            </w:pPr>
            <w:r>
              <w:t>Nejvyšší povolený provozní tlak</w:t>
            </w:r>
          </w:p>
        </w:tc>
        <w:tc>
          <w:tcPr>
            <w:tcW w:w="1276" w:type="dxa"/>
            <w:vAlign w:val="center"/>
          </w:tcPr>
          <w:p w:rsidR="00197243" w:rsidRPr="00610E89" w:rsidRDefault="00197243" w:rsidP="00197243">
            <w:pPr>
              <w:spacing w:before="0" w:after="0"/>
              <w:jc w:val="center"/>
            </w:pPr>
            <w:r>
              <w:rPr>
                <w:lang w:val="en-US"/>
              </w:rPr>
              <w:t>[bar]</w:t>
            </w:r>
          </w:p>
        </w:tc>
        <w:tc>
          <w:tcPr>
            <w:tcW w:w="1383" w:type="dxa"/>
            <w:vAlign w:val="center"/>
          </w:tcPr>
          <w:p w:rsidR="00197243" w:rsidRDefault="00197243" w:rsidP="00197243">
            <w:pPr>
              <w:spacing w:before="0" w:after="0"/>
              <w:jc w:val="right"/>
            </w:pPr>
            <w:r>
              <w:t>10</w:t>
            </w:r>
          </w:p>
        </w:tc>
      </w:tr>
    </w:tbl>
    <w:p w:rsidR="00197243" w:rsidRDefault="00197243" w:rsidP="00197243"/>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197243" w:rsidTr="00197243">
        <w:tc>
          <w:tcPr>
            <w:tcW w:w="9212" w:type="dxa"/>
          </w:tcPr>
          <w:p w:rsidR="00197243" w:rsidRDefault="00197243" w:rsidP="00197243">
            <w:pPr>
              <w:keepNext/>
              <w:jc w:val="center"/>
            </w:pPr>
            <w:r>
              <w:rPr>
                <w:noProof/>
                <w:lang w:eastAsia="cs-CZ"/>
              </w:rPr>
              <w:drawing>
                <wp:inline distT="0" distB="0" distL="0" distR="0" wp14:anchorId="7838C287" wp14:editId="348BADD4">
                  <wp:extent cx="2791449" cy="257175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GJ_ZVENKU.PNG"/>
                          <pic:cNvPicPr/>
                        </pic:nvPicPr>
                        <pic:blipFill>
                          <a:blip r:embed="rId40" cstate="print">
                            <a:extLst>
                              <a:ext uri="{BEBA8EAE-BF5A-486C-A8C5-ECC9F3942E4B}">
                                <a14:imgProps xmlns:a14="http://schemas.microsoft.com/office/drawing/2010/main">
                                  <a14:imgLayer r:embed="rId41">
                                    <a14:imgEffect>
                                      <a14:backgroundRemoval t="3765" b="100000" l="1951" r="98555">
                                        <a14:foregroundMark x1="7731" y1="17961" x2="7731" y2="17961"/>
                                        <a14:foregroundMark x1="7731" y1="24627" x2="7731" y2="24627"/>
                                      </a14:backgroundRemoval>
                                    </a14:imgEffect>
                                  </a14:imgLayer>
                                </a14:imgProps>
                              </a:ext>
                              <a:ext uri="{28A0092B-C50C-407E-A947-70E740481C1C}">
                                <a14:useLocalDpi xmlns:a14="http://schemas.microsoft.com/office/drawing/2010/main" val="0"/>
                              </a:ext>
                            </a:extLst>
                          </a:blip>
                          <a:stretch>
                            <a:fillRect/>
                          </a:stretch>
                        </pic:blipFill>
                        <pic:spPr>
                          <a:xfrm>
                            <a:off x="0" y="0"/>
                            <a:ext cx="2854222" cy="2629583"/>
                          </a:xfrm>
                          <a:prstGeom prst="rect">
                            <a:avLst/>
                          </a:prstGeom>
                        </pic:spPr>
                      </pic:pic>
                    </a:graphicData>
                  </a:graphic>
                </wp:inline>
              </w:drawing>
            </w:r>
          </w:p>
        </w:tc>
      </w:tr>
      <w:tr w:rsidR="00197243" w:rsidTr="00197243">
        <w:tc>
          <w:tcPr>
            <w:tcW w:w="9212" w:type="dxa"/>
          </w:tcPr>
          <w:p w:rsidR="00197243" w:rsidRPr="009406EC" w:rsidRDefault="00197243" w:rsidP="00E80271">
            <w:pPr>
              <w:pStyle w:val="Obrzek"/>
              <w:keepNext w:val="0"/>
            </w:pPr>
            <w:bookmarkStart w:id="78" w:name="_Ref56333514"/>
            <w:r>
              <w:t xml:space="preserve">Obr. </w:t>
            </w:r>
            <w:fldSimple w:instr=" SEQ Obr. \* ARABIC ">
              <w:r w:rsidR="00816426">
                <w:rPr>
                  <w:noProof/>
                </w:rPr>
                <w:t>10</w:t>
              </w:r>
            </w:fldSimple>
            <w:bookmarkEnd w:id="78"/>
            <w:r>
              <w:t xml:space="preserve"> Navržená kogenerační jednotka </w:t>
            </w:r>
            <w:r w:rsidR="00E80271">
              <w:t>Viessmann VITOBLOC 200 typ EM-260/390</w:t>
            </w:r>
            <w:r w:rsidR="00E80271">
              <w:rPr>
                <w:lang w:val="en-US"/>
              </w:rPr>
              <w:t xml:space="preserve"> </w:t>
            </w:r>
            <w:r>
              <w:rPr>
                <w:lang w:val="en-US"/>
              </w:rPr>
              <w:t>[6]</w:t>
            </w:r>
          </w:p>
        </w:tc>
      </w:tr>
    </w:tbl>
    <w:p w:rsidR="00292087" w:rsidRDefault="00292087" w:rsidP="00370BDE">
      <w:pPr>
        <w:pStyle w:val="Nadpis3"/>
      </w:pPr>
      <w:bookmarkStart w:id="79" w:name="_Toc58949365"/>
      <w:r>
        <w:t>Modulace výkonu KGJ</w:t>
      </w:r>
      <w:bookmarkEnd w:id="79"/>
    </w:p>
    <w:p w:rsidR="00292087" w:rsidRDefault="00292087" w:rsidP="00292087">
      <w:r>
        <w:t>Výkon kog</w:t>
      </w:r>
      <w:r w:rsidR="00BA416D">
        <w:t xml:space="preserve">enerační jednotky lze modulovat. Provozní stavy jsou 50, 75 a 100 %. Elektrický výkon, tepelný výkon a příkon v palivu znázorňuje </w:t>
      </w:r>
      <w:r w:rsidR="00BA416D">
        <w:fldChar w:fldCharType="begin"/>
      </w:r>
      <w:r w:rsidR="00BA416D">
        <w:instrText xml:space="preserve"> REF _Ref57718999 \h </w:instrText>
      </w:r>
      <w:r w:rsidR="00BA416D">
        <w:fldChar w:fldCharType="separate"/>
      </w:r>
      <w:r w:rsidR="00816426">
        <w:t xml:space="preserve">Tab. </w:t>
      </w:r>
      <w:r w:rsidR="00816426">
        <w:rPr>
          <w:noProof/>
        </w:rPr>
        <w:t>8</w:t>
      </w:r>
      <w:r w:rsidR="00BA416D">
        <w:fldChar w:fldCharType="end"/>
      </w:r>
      <w:r w:rsidR="00BA416D">
        <w:t xml:space="preserve">. </w:t>
      </w:r>
      <w:r w:rsidR="00305B52">
        <w:t>Kogenerační jednotku lze řídit signálem 0–20 mA, a získat tak v rozmezí 50% až 100% výkonu 20 možných provozních bodů.</w:t>
      </w:r>
      <w:r w:rsidR="00FD4B64">
        <w:t xml:space="preserve"> Výkon 50 % je minimální </w:t>
      </w:r>
      <w:r w:rsidR="00C01DA9">
        <w:t>hranicí výkonu, pod kterou nelze jít. Při nižším výkonu je chod kogenerační jednotky nestabilní.</w:t>
      </w:r>
    </w:p>
    <w:p w:rsidR="00BA416D" w:rsidRPr="006B683A" w:rsidRDefault="00BA416D" w:rsidP="006B683A">
      <w:pPr>
        <w:pStyle w:val="Tabulka"/>
      </w:pPr>
      <w:bookmarkStart w:id="80" w:name="_Ref57718999"/>
      <w:r>
        <w:t xml:space="preserve">Tab. </w:t>
      </w:r>
      <w:fldSimple w:instr=" SEQ Tab. \* ARABIC ">
        <w:r w:rsidR="00816426">
          <w:rPr>
            <w:noProof/>
          </w:rPr>
          <w:t>8</w:t>
        </w:r>
      </w:fldSimple>
      <w:bookmarkEnd w:id="80"/>
      <w:r>
        <w:t xml:space="preserve"> Modulace výkonu navržené KGJ </w:t>
      </w:r>
      <w:r w:rsidR="006B683A">
        <w:rPr>
          <w:lang w:val="en-US"/>
        </w:rPr>
        <w:t>[6]</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992"/>
        <w:gridCol w:w="2016"/>
        <w:gridCol w:w="1843"/>
        <w:gridCol w:w="1843"/>
      </w:tblGrid>
      <w:tr w:rsidR="00BA416D" w:rsidTr="006B683A">
        <w:tc>
          <w:tcPr>
            <w:tcW w:w="3510" w:type="dxa"/>
            <w:gridSpan w:val="2"/>
            <w:tcBorders>
              <w:top w:val="single" w:sz="12" w:space="0" w:color="auto"/>
              <w:bottom w:val="single" w:sz="4" w:space="0" w:color="auto"/>
            </w:tcBorders>
          </w:tcPr>
          <w:p w:rsidR="00BA416D" w:rsidRDefault="00BA416D" w:rsidP="006B683A">
            <w:pPr>
              <w:keepNext/>
            </w:pPr>
            <w:r>
              <w:t>Provozní stav</w:t>
            </w:r>
          </w:p>
        </w:tc>
        <w:tc>
          <w:tcPr>
            <w:tcW w:w="2016" w:type="dxa"/>
            <w:tcBorders>
              <w:top w:val="single" w:sz="12" w:space="0" w:color="auto"/>
              <w:bottom w:val="single" w:sz="4" w:space="0" w:color="auto"/>
            </w:tcBorders>
            <w:vAlign w:val="center"/>
          </w:tcPr>
          <w:p w:rsidR="00BA416D" w:rsidRDefault="00BA416D" w:rsidP="006B683A">
            <w:pPr>
              <w:keepNext/>
              <w:jc w:val="center"/>
            </w:pPr>
            <w:r>
              <w:t>100 %</w:t>
            </w:r>
          </w:p>
        </w:tc>
        <w:tc>
          <w:tcPr>
            <w:tcW w:w="1843" w:type="dxa"/>
            <w:tcBorders>
              <w:top w:val="single" w:sz="12" w:space="0" w:color="auto"/>
              <w:bottom w:val="single" w:sz="4" w:space="0" w:color="auto"/>
            </w:tcBorders>
            <w:vAlign w:val="center"/>
          </w:tcPr>
          <w:p w:rsidR="00BA416D" w:rsidRDefault="00BA416D" w:rsidP="006B683A">
            <w:pPr>
              <w:keepNext/>
              <w:jc w:val="center"/>
            </w:pPr>
            <w:r>
              <w:t>75 %</w:t>
            </w:r>
          </w:p>
        </w:tc>
        <w:tc>
          <w:tcPr>
            <w:tcW w:w="1843" w:type="dxa"/>
            <w:tcBorders>
              <w:top w:val="single" w:sz="12" w:space="0" w:color="auto"/>
              <w:bottom w:val="single" w:sz="4" w:space="0" w:color="auto"/>
            </w:tcBorders>
            <w:vAlign w:val="center"/>
          </w:tcPr>
          <w:p w:rsidR="00BA416D" w:rsidRDefault="00BA416D" w:rsidP="006B683A">
            <w:pPr>
              <w:keepNext/>
              <w:jc w:val="center"/>
            </w:pPr>
            <w:r>
              <w:t>50 %</w:t>
            </w:r>
          </w:p>
        </w:tc>
      </w:tr>
      <w:tr w:rsidR="00BA416D" w:rsidTr="006B683A">
        <w:tc>
          <w:tcPr>
            <w:tcW w:w="2518" w:type="dxa"/>
            <w:tcBorders>
              <w:top w:val="single" w:sz="4" w:space="0" w:color="auto"/>
            </w:tcBorders>
          </w:tcPr>
          <w:p w:rsidR="00BA416D" w:rsidRDefault="00BA416D" w:rsidP="006B683A">
            <w:pPr>
              <w:keepNext/>
            </w:pPr>
            <w:r>
              <w:t>Elektrický výkon</w:t>
            </w:r>
          </w:p>
        </w:tc>
        <w:tc>
          <w:tcPr>
            <w:tcW w:w="992" w:type="dxa"/>
            <w:tcBorders>
              <w:top w:val="single" w:sz="4" w:space="0" w:color="auto"/>
            </w:tcBorders>
            <w:vAlign w:val="center"/>
          </w:tcPr>
          <w:p w:rsidR="00BA416D" w:rsidRPr="00BA416D" w:rsidRDefault="00BA416D" w:rsidP="006B683A">
            <w:pPr>
              <w:keepNext/>
              <w:jc w:val="center"/>
            </w:pPr>
            <w:r>
              <w:rPr>
                <w:lang w:val="en-US"/>
              </w:rPr>
              <w:t>[kW]</w:t>
            </w:r>
          </w:p>
        </w:tc>
        <w:tc>
          <w:tcPr>
            <w:tcW w:w="2016" w:type="dxa"/>
            <w:tcBorders>
              <w:top w:val="single" w:sz="4" w:space="0" w:color="auto"/>
            </w:tcBorders>
            <w:vAlign w:val="center"/>
          </w:tcPr>
          <w:p w:rsidR="00BA416D" w:rsidRDefault="00BA416D" w:rsidP="006B683A">
            <w:pPr>
              <w:keepNext/>
              <w:jc w:val="center"/>
            </w:pPr>
            <w:r>
              <w:t>263</w:t>
            </w:r>
          </w:p>
        </w:tc>
        <w:tc>
          <w:tcPr>
            <w:tcW w:w="1843" w:type="dxa"/>
            <w:tcBorders>
              <w:top w:val="single" w:sz="4" w:space="0" w:color="auto"/>
            </w:tcBorders>
            <w:vAlign w:val="center"/>
          </w:tcPr>
          <w:p w:rsidR="00BA416D" w:rsidRDefault="00BA416D" w:rsidP="006B683A">
            <w:pPr>
              <w:keepNext/>
              <w:jc w:val="center"/>
            </w:pPr>
            <w:r>
              <w:t>197</w:t>
            </w:r>
          </w:p>
        </w:tc>
        <w:tc>
          <w:tcPr>
            <w:tcW w:w="1843" w:type="dxa"/>
            <w:tcBorders>
              <w:top w:val="single" w:sz="4" w:space="0" w:color="auto"/>
            </w:tcBorders>
            <w:vAlign w:val="center"/>
          </w:tcPr>
          <w:p w:rsidR="00BA416D" w:rsidRDefault="00BA416D" w:rsidP="006B683A">
            <w:pPr>
              <w:keepNext/>
              <w:jc w:val="center"/>
            </w:pPr>
            <w:r>
              <w:t>132</w:t>
            </w:r>
          </w:p>
        </w:tc>
      </w:tr>
      <w:tr w:rsidR="00BA416D" w:rsidTr="006B683A">
        <w:tc>
          <w:tcPr>
            <w:tcW w:w="2518" w:type="dxa"/>
          </w:tcPr>
          <w:p w:rsidR="00BA416D" w:rsidRDefault="00BA416D" w:rsidP="006B683A">
            <w:pPr>
              <w:keepNext/>
            </w:pPr>
            <w:r>
              <w:t>Tepelný výkon</w:t>
            </w:r>
          </w:p>
        </w:tc>
        <w:tc>
          <w:tcPr>
            <w:tcW w:w="992" w:type="dxa"/>
            <w:vAlign w:val="center"/>
          </w:tcPr>
          <w:p w:rsidR="00BA416D" w:rsidRPr="00BA416D" w:rsidRDefault="00BA416D" w:rsidP="006B683A">
            <w:pPr>
              <w:keepNext/>
              <w:jc w:val="center"/>
            </w:pPr>
            <w:r>
              <w:rPr>
                <w:lang w:val="en-US"/>
              </w:rPr>
              <w:t>[kW]</w:t>
            </w:r>
          </w:p>
        </w:tc>
        <w:tc>
          <w:tcPr>
            <w:tcW w:w="2016" w:type="dxa"/>
            <w:vAlign w:val="center"/>
          </w:tcPr>
          <w:p w:rsidR="00BA416D" w:rsidRDefault="00BA416D" w:rsidP="006B683A">
            <w:pPr>
              <w:keepNext/>
              <w:jc w:val="center"/>
            </w:pPr>
            <w:r>
              <w:t>390</w:t>
            </w:r>
          </w:p>
        </w:tc>
        <w:tc>
          <w:tcPr>
            <w:tcW w:w="1843" w:type="dxa"/>
            <w:vAlign w:val="center"/>
          </w:tcPr>
          <w:p w:rsidR="00BA416D" w:rsidRDefault="00BA416D" w:rsidP="006B683A">
            <w:pPr>
              <w:keepNext/>
              <w:jc w:val="center"/>
            </w:pPr>
            <w:r>
              <w:t>315</w:t>
            </w:r>
          </w:p>
        </w:tc>
        <w:tc>
          <w:tcPr>
            <w:tcW w:w="1843" w:type="dxa"/>
            <w:vAlign w:val="center"/>
          </w:tcPr>
          <w:p w:rsidR="00BA416D" w:rsidRDefault="00BA416D" w:rsidP="006B683A">
            <w:pPr>
              <w:keepNext/>
              <w:jc w:val="center"/>
            </w:pPr>
            <w:r>
              <w:t>250</w:t>
            </w:r>
          </w:p>
        </w:tc>
      </w:tr>
      <w:tr w:rsidR="00BA416D" w:rsidTr="006B683A">
        <w:tc>
          <w:tcPr>
            <w:tcW w:w="2518" w:type="dxa"/>
          </w:tcPr>
          <w:p w:rsidR="00BA416D" w:rsidRDefault="00BA416D" w:rsidP="00BA416D">
            <w:r>
              <w:t>Příkon v palivu</w:t>
            </w:r>
          </w:p>
        </w:tc>
        <w:tc>
          <w:tcPr>
            <w:tcW w:w="992" w:type="dxa"/>
            <w:vAlign w:val="center"/>
          </w:tcPr>
          <w:p w:rsidR="00BA416D" w:rsidRPr="00BA416D" w:rsidRDefault="00BA416D" w:rsidP="00BA416D">
            <w:pPr>
              <w:jc w:val="center"/>
            </w:pPr>
            <w:r>
              <w:rPr>
                <w:lang w:val="en-US"/>
              </w:rPr>
              <w:t>[kW]</w:t>
            </w:r>
          </w:p>
        </w:tc>
        <w:tc>
          <w:tcPr>
            <w:tcW w:w="2016" w:type="dxa"/>
            <w:vAlign w:val="center"/>
          </w:tcPr>
          <w:p w:rsidR="00BA416D" w:rsidRDefault="00BA416D" w:rsidP="00BA416D">
            <w:pPr>
              <w:jc w:val="center"/>
            </w:pPr>
            <w:r>
              <w:t>693</w:t>
            </w:r>
          </w:p>
        </w:tc>
        <w:tc>
          <w:tcPr>
            <w:tcW w:w="1843" w:type="dxa"/>
            <w:vAlign w:val="center"/>
          </w:tcPr>
          <w:p w:rsidR="00BA416D" w:rsidRDefault="00BA416D" w:rsidP="00BA416D">
            <w:pPr>
              <w:jc w:val="center"/>
            </w:pPr>
            <w:r>
              <w:t>541</w:t>
            </w:r>
          </w:p>
        </w:tc>
        <w:tc>
          <w:tcPr>
            <w:tcW w:w="1843" w:type="dxa"/>
            <w:vAlign w:val="center"/>
          </w:tcPr>
          <w:p w:rsidR="00BA416D" w:rsidRDefault="00BA416D" w:rsidP="00BA416D">
            <w:pPr>
              <w:jc w:val="center"/>
            </w:pPr>
            <w:r>
              <w:t>402</w:t>
            </w:r>
          </w:p>
        </w:tc>
      </w:tr>
    </w:tbl>
    <w:p w:rsidR="00370BDE" w:rsidRDefault="00370BDE" w:rsidP="00370BDE">
      <w:pPr>
        <w:pStyle w:val="Nadpis3"/>
      </w:pPr>
      <w:bookmarkStart w:id="81" w:name="_Toc58949366"/>
      <w:r>
        <w:t>Doprava a montáž KGJ</w:t>
      </w:r>
      <w:bookmarkEnd w:id="81"/>
    </w:p>
    <w:p w:rsidR="006C64BF" w:rsidRDefault="006C64BF" w:rsidP="006C64BF">
      <w:r>
        <w:t>Rozměry a hmotnostní údaje o kogenerační jednotce jsou shrnuty v </w:t>
      </w:r>
      <w:r>
        <w:fldChar w:fldCharType="begin"/>
      </w:r>
      <w:r>
        <w:instrText xml:space="preserve"> REF _Ref56336146 \h </w:instrText>
      </w:r>
      <w:r>
        <w:fldChar w:fldCharType="separate"/>
      </w:r>
      <w:r w:rsidR="00816426">
        <w:t xml:space="preserve">Tab. </w:t>
      </w:r>
      <w:r w:rsidR="00816426">
        <w:rPr>
          <w:noProof/>
        </w:rPr>
        <w:t>9</w:t>
      </w:r>
      <w:r>
        <w:fldChar w:fldCharType="end"/>
      </w:r>
      <w:r>
        <w:t xml:space="preserve">, patrné na </w:t>
      </w:r>
      <w:r>
        <w:fldChar w:fldCharType="begin"/>
      </w:r>
      <w:r>
        <w:instrText xml:space="preserve"> REF _Ref56337534 \h </w:instrText>
      </w:r>
      <w:r>
        <w:fldChar w:fldCharType="separate"/>
      </w:r>
      <w:r w:rsidR="00816426">
        <w:t xml:space="preserve">Obr. </w:t>
      </w:r>
      <w:r w:rsidR="00816426">
        <w:rPr>
          <w:noProof/>
        </w:rPr>
        <w:t>11</w:t>
      </w:r>
      <w:r>
        <w:fldChar w:fldCharType="end"/>
      </w:r>
      <w:r>
        <w:t>. Na základě již zmíněných okolností, a to, že k nastěhování kogenerační jednotky je možné využít pouze montážní otvor v garáži o přibližných rozměrech 2,4 × 2,4 m, je nutné dopravit jednotku do prostoru stávající kotelny po částech a následně provést její montáž.</w:t>
      </w:r>
    </w:p>
    <w:p w:rsidR="006C64BF" w:rsidRPr="007A58B6" w:rsidRDefault="006C64BF" w:rsidP="006B683A">
      <w:pPr>
        <w:pStyle w:val="Tabulka"/>
        <w:rPr>
          <w:lang w:val="en-US"/>
        </w:rPr>
      </w:pPr>
      <w:bookmarkStart w:id="82" w:name="_Ref56336146"/>
      <w:r>
        <w:t xml:space="preserve">Tab. </w:t>
      </w:r>
      <w:fldSimple w:instr=" SEQ Tab. \* ARABIC ">
        <w:r w:rsidR="00816426">
          <w:rPr>
            <w:noProof/>
          </w:rPr>
          <w:t>9</w:t>
        </w:r>
      </w:fldSimple>
      <w:bookmarkEnd w:id="82"/>
      <w:r>
        <w:t xml:space="preserve"> Rozměry a hmotnost kogeneračního modulu </w:t>
      </w:r>
      <w:r>
        <w:rPr>
          <w:lang w:val="en-US"/>
        </w:rPr>
        <w:t>[6]</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851"/>
        <w:gridCol w:w="2016"/>
        <w:gridCol w:w="2769"/>
      </w:tblGrid>
      <w:tr w:rsidR="006C64BF" w:rsidTr="00B17630">
        <w:trPr>
          <w:trHeight w:val="397"/>
        </w:trPr>
        <w:tc>
          <w:tcPr>
            <w:tcW w:w="3652" w:type="dxa"/>
            <w:tcBorders>
              <w:bottom w:val="single" w:sz="4" w:space="0" w:color="auto"/>
            </w:tcBorders>
            <w:vAlign w:val="center"/>
          </w:tcPr>
          <w:p w:rsidR="006C64BF" w:rsidRDefault="006C64BF" w:rsidP="006B683A">
            <w:pPr>
              <w:keepNext/>
              <w:spacing w:before="0" w:after="0"/>
              <w:jc w:val="left"/>
            </w:pPr>
            <w:r>
              <w:t>Rozměry kogeneračního modulu</w:t>
            </w:r>
          </w:p>
        </w:tc>
        <w:tc>
          <w:tcPr>
            <w:tcW w:w="851" w:type="dxa"/>
            <w:tcBorders>
              <w:bottom w:val="single" w:sz="4" w:space="0" w:color="auto"/>
            </w:tcBorders>
            <w:vAlign w:val="center"/>
          </w:tcPr>
          <w:p w:rsidR="006C64BF" w:rsidRDefault="006C64BF" w:rsidP="006B683A">
            <w:pPr>
              <w:keepNext/>
              <w:spacing w:before="0" w:after="0"/>
              <w:jc w:val="center"/>
            </w:pPr>
          </w:p>
        </w:tc>
        <w:tc>
          <w:tcPr>
            <w:tcW w:w="2016" w:type="dxa"/>
            <w:tcBorders>
              <w:bottom w:val="single" w:sz="4" w:space="0" w:color="auto"/>
            </w:tcBorders>
            <w:vAlign w:val="center"/>
          </w:tcPr>
          <w:p w:rsidR="006C64BF" w:rsidRDefault="006C64BF" w:rsidP="006B683A">
            <w:pPr>
              <w:keepNext/>
              <w:spacing w:before="0" w:after="0"/>
              <w:jc w:val="center"/>
            </w:pPr>
            <w:r>
              <w:t>Rozměr rámu</w:t>
            </w:r>
          </w:p>
        </w:tc>
        <w:tc>
          <w:tcPr>
            <w:tcW w:w="2769" w:type="dxa"/>
            <w:tcBorders>
              <w:bottom w:val="single" w:sz="4" w:space="0" w:color="auto"/>
            </w:tcBorders>
            <w:vAlign w:val="center"/>
          </w:tcPr>
          <w:p w:rsidR="006C64BF" w:rsidRDefault="006C64BF" w:rsidP="006B683A">
            <w:pPr>
              <w:keepNext/>
              <w:spacing w:before="0" w:after="0"/>
              <w:jc w:val="center"/>
            </w:pPr>
            <w:r>
              <w:t>včetně protihlukového víka a ventilátoru</w:t>
            </w:r>
          </w:p>
        </w:tc>
      </w:tr>
      <w:tr w:rsidR="006C64BF" w:rsidTr="00B17630">
        <w:trPr>
          <w:trHeight w:val="397"/>
        </w:trPr>
        <w:tc>
          <w:tcPr>
            <w:tcW w:w="3652" w:type="dxa"/>
            <w:tcBorders>
              <w:top w:val="single" w:sz="4" w:space="0" w:color="auto"/>
              <w:bottom w:val="nil"/>
            </w:tcBorders>
            <w:vAlign w:val="center"/>
          </w:tcPr>
          <w:p w:rsidR="006C64BF" w:rsidRDefault="006C64BF" w:rsidP="006B683A">
            <w:pPr>
              <w:keepNext/>
              <w:spacing w:before="0" w:after="0"/>
              <w:jc w:val="left"/>
            </w:pPr>
            <w:r>
              <w:t>Délka</w:t>
            </w:r>
          </w:p>
        </w:tc>
        <w:tc>
          <w:tcPr>
            <w:tcW w:w="851" w:type="dxa"/>
            <w:tcBorders>
              <w:top w:val="single" w:sz="4" w:space="0" w:color="auto"/>
              <w:bottom w:val="nil"/>
            </w:tcBorders>
            <w:vAlign w:val="center"/>
          </w:tcPr>
          <w:p w:rsidR="006C64BF" w:rsidRPr="007A58B6" w:rsidRDefault="006C64BF" w:rsidP="006B683A">
            <w:pPr>
              <w:keepNext/>
              <w:spacing w:before="0" w:after="0"/>
              <w:jc w:val="center"/>
            </w:pPr>
            <w:r>
              <w:rPr>
                <w:lang w:val="en-US"/>
              </w:rPr>
              <w:t>[mm]</w:t>
            </w:r>
          </w:p>
        </w:tc>
        <w:tc>
          <w:tcPr>
            <w:tcW w:w="2016" w:type="dxa"/>
            <w:tcBorders>
              <w:top w:val="single" w:sz="4" w:space="0" w:color="auto"/>
              <w:bottom w:val="nil"/>
            </w:tcBorders>
            <w:vAlign w:val="center"/>
          </w:tcPr>
          <w:p w:rsidR="006C64BF" w:rsidRDefault="006C64BF" w:rsidP="006B683A">
            <w:pPr>
              <w:keepNext/>
              <w:spacing w:before="0" w:after="0"/>
              <w:jc w:val="right"/>
            </w:pPr>
            <w:r>
              <w:t>3</w:t>
            </w:r>
            <w:r w:rsidR="00402561">
              <w:t> </w:t>
            </w:r>
            <w:r>
              <w:t>583</w:t>
            </w:r>
          </w:p>
        </w:tc>
        <w:tc>
          <w:tcPr>
            <w:tcW w:w="2769" w:type="dxa"/>
            <w:tcBorders>
              <w:top w:val="single" w:sz="4" w:space="0" w:color="auto"/>
              <w:bottom w:val="nil"/>
            </w:tcBorders>
            <w:vAlign w:val="center"/>
          </w:tcPr>
          <w:p w:rsidR="006C64BF" w:rsidRDefault="006C64BF" w:rsidP="006B683A">
            <w:pPr>
              <w:keepNext/>
              <w:spacing w:before="0" w:after="0"/>
              <w:jc w:val="right"/>
            </w:pPr>
            <w:r>
              <w:t>4</w:t>
            </w:r>
            <w:r w:rsidR="00402561">
              <w:t> </w:t>
            </w:r>
            <w:r>
              <w:t>335</w:t>
            </w:r>
          </w:p>
        </w:tc>
      </w:tr>
      <w:tr w:rsidR="006C64BF" w:rsidTr="00B17630">
        <w:trPr>
          <w:trHeight w:val="397"/>
        </w:trPr>
        <w:tc>
          <w:tcPr>
            <w:tcW w:w="3652" w:type="dxa"/>
            <w:tcBorders>
              <w:top w:val="nil"/>
              <w:bottom w:val="nil"/>
            </w:tcBorders>
            <w:vAlign w:val="center"/>
          </w:tcPr>
          <w:p w:rsidR="006C64BF" w:rsidRDefault="006C64BF" w:rsidP="006B683A">
            <w:pPr>
              <w:keepNext/>
              <w:spacing w:before="0" w:after="0"/>
              <w:jc w:val="left"/>
            </w:pPr>
            <w:r>
              <w:t>Šířka</w:t>
            </w:r>
          </w:p>
        </w:tc>
        <w:tc>
          <w:tcPr>
            <w:tcW w:w="851" w:type="dxa"/>
            <w:tcBorders>
              <w:top w:val="nil"/>
              <w:bottom w:val="nil"/>
            </w:tcBorders>
            <w:vAlign w:val="center"/>
          </w:tcPr>
          <w:p w:rsidR="006C64BF" w:rsidRPr="007A58B6" w:rsidRDefault="006C64BF" w:rsidP="006B683A">
            <w:pPr>
              <w:keepNext/>
              <w:spacing w:before="0" w:after="0"/>
              <w:jc w:val="center"/>
            </w:pPr>
            <w:r>
              <w:rPr>
                <w:lang w:val="en-US"/>
              </w:rPr>
              <w:t>[mm]</w:t>
            </w:r>
          </w:p>
        </w:tc>
        <w:tc>
          <w:tcPr>
            <w:tcW w:w="2016" w:type="dxa"/>
            <w:tcBorders>
              <w:top w:val="nil"/>
              <w:bottom w:val="nil"/>
            </w:tcBorders>
            <w:vAlign w:val="center"/>
          </w:tcPr>
          <w:p w:rsidR="006C64BF" w:rsidRDefault="006C64BF" w:rsidP="006B683A">
            <w:pPr>
              <w:keepNext/>
              <w:spacing w:before="0" w:after="0"/>
              <w:jc w:val="right"/>
            </w:pPr>
            <w:r>
              <w:t>1</w:t>
            </w:r>
            <w:r w:rsidR="00402561">
              <w:t> </w:t>
            </w:r>
            <w:r>
              <w:t>600</w:t>
            </w:r>
          </w:p>
        </w:tc>
        <w:tc>
          <w:tcPr>
            <w:tcW w:w="2769" w:type="dxa"/>
            <w:tcBorders>
              <w:top w:val="nil"/>
              <w:bottom w:val="nil"/>
            </w:tcBorders>
            <w:vAlign w:val="center"/>
          </w:tcPr>
          <w:p w:rsidR="006C64BF" w:rsidRDefault="006C64BF" w:rsidP="006B683A">
            <w:pPr>
              <w:keepNext/>
              <w:spacing w:before="0" w:after="0"/>
              <w:jc w:val="right"/>
            </w:pPr>
            <w:r>
              <w:t>1</w:t>
            </w:r>
            <w:r w:rsidR="00402561">
              <w:t> </w:t>
            </w:r>
            <w:r>
              <w:t>652</w:t>
            </w:r>
          </w:p>
        </w:tc>
      </w:tr>
      <w:tr w:rsidR="006C64BF" w:rsidTr="00B17630">
        <w:trPr>
          <w:trHeight w:val="397"/>
        </w:trPr>
        <w:tc>
          <w:tcPr>
            <w:tcW w:w="3652" w:type="dxa"/>
            <w:tcBorders>
              <w:top w:val="nil"/>
              <w:bottom w:val="nil"/>
            </w:tcBorders>
            <w:vAlign w:val="center"/>
          </w:tcPr>
          <w:p w:rsidR="006C64BF" w:rsidRDefault="006C64BF" w:rsidP="006B683A">
            <w:pPr>
              <w:keepNext/>
              <w:spacing w:before="0" w:after="0"/>
              <w:jc w:val="left"/>
            </w:pPr>
            <w:r>
              <w:t>Výška (bez patek)</w:t>
            </w:r>
          </w:p>
        </w:tc>
        <w:tc>
          <w:tcPr>
            <w:tcW w:w="851" w:type="dxa"/>
            <w:tcBorders>
              <w:top w:val="nil"/>
              <w:bottom w:val="nil"/>
            </w:tcBorders>
            <w:vAlign w:val="center"/>
          </w:tcPr>
          <w:p w:rsidR="006C64BF" w:rsidRPr="007A58B6" w:rsidRDefault="006C64BF" w:rsidP="006B683A">
            <w:pPr>
              <w:keepNext/>
              <w:spacing w:before="0" w:after="0"/>
              <w:jc w:val="center"/>
            </w:pPr>
            <w:r>
              <w:rPr>
                <w:lang w:val="en-US"/>
              </w:rPr>
              <w:t>[mm]</w:t>
            </w:r>
          </w:p>
        </w:tc>
        <w:tc>
          <w:tcPr>
            <w:tcW w:w="2016" w:type="dxa"/>
            <w:tcBorders>
              <w:top w:val="nil"/>
              <w:bottom w:val="nil"/>
            </w:tcBorders>
            <w:vAlign w:val="center"/>
          </w:tcPr>
          <w:p w:rsidR="006C64BF" w:rsidRDefault="006C64BF" w:rsidP="006B683A">
            <w:pPr>
              <w:keepNext/>
              <w:spacing w:before="0" w:after="0"/>
              <w:jc w:val="right"/>
            </w:pPr>
            <w:r>
              <w:t>2</w:t>
            </w:r>
            <w:r w:rsidR="00402561">
              <w:t> </w:t>
            </w:r>
            <w:r>
              <w:t>000</w:t>
            </w:r>
          </w:p>
        </w:tc>
        <w:tc>
          <w:tcPr>
            <w:tcW w:w="2769" w:type="dxa"/>
            <w:tcBorders>
              <w:top w:val="nil"/>
              <w:bottom w:val="nil"/>
            </w:tcBorders>
            <w:vAlign w:val="center"/>
          </w:tcPr>
          <w:p w:rsidR="006C64BF" w:rsidRDefault="006C64BF" w:rsidP="006B683A">
            <w:pPr>
              <w:keepNext/>
              <w:spacing w:before="0" w:after="0"/>
              <w:jc w:val="right"/>
            </w:pPr>
            <w:r>
              <w:t>2</w:t>
            </w:r>
            <w:r w:rsidR="00402561">
              <w:t> </w:t>
            </w:r>
            <w:r>
              <w:t>026</w:t>
            </w:r>
          </w:p>
        </w:tc>
      </w:tr>
      <w:tr w:rsidR="006C64BF" w:rsidTr="00B17630">
        <w:trPr>
          <w:trHeight w:val="397"/>
        </w:trPr>
        <w:tc>
          <w:tcPr>
            <w:tcW w:w="3652" w:type="dxa"/>
            <w:tcBorders>
              <w:top w:val="nil"/>
              <w:bottom w:val="single" w:sz="4" w:space="0" w:color="auto"/>
            </w:tcBorders>
            <w:vAlign w:val="center"/>
          </w:tcPr>
          <w:p w:rsidR="006C64BF" w:rsidRDefault="006C64BF" w:rsidP="006B683A">
            <w:pPr>
              <w:keepNext/>
              <w:spacing w:before="0" w:after="0"/>
              <w:jc w:val="left"/>
            </w:pPr>
            <w:r>
              <w:t>Hmotnost kogeneračního modulu</w:t>
            </w:r>
          </w:p>
        </w:tc>
        <w:tc>
          <w:tcPr>
            <w:tcW w:w="851" w:type="dxa"/>
            <w:tcBorders>
              <w:top w:val="nil"/>
              <w:bottom w:val="single" w:sz="4" w:space="0" w:color="auto"/>
            </w:tcBorders>
            <w:vAlign w:val="center"/>
          </w:tcPr>
          <w:p w:rsidR="006C64BF" w:rsidRDefault="006C64BF" w:rsidP="006B683A">
            <w:pPr>
              <w:keepNext/>
              <w:spacing w:before="0" w:after="0"/>
              <w:jc w:val="center"/>
            </w:pPr>
          </w:p>
        </w:tc>
        <w:tc>
          <w:tcPr>
            <w:tcW w:w="2016" w:type="dxa"/>
            <w:tcBorders>
              <w:top w:val="nil"/>
              <w:bottom w:val="single" w:sz="4" w:space="0" w:color="auto"/>
            </w:tcBorders>
            <w:vAlign w:val="center"/>
          </w:tcPr>
          <w:p w:rsidR="006C64BF" w:rsidRDefault="006C64BF" w:rsidP="006B683A">
            <w:pPr>
              <w:keepNext/>
              <w:spacing w:before="0" w:after="0"/>
              <w:jc w:val="right"/>
            </w:pPr>
          </w:p>
        </w:tc>
        <w:tc>
          <w:tcPr>
            <w:tcW w:w="2769" w:type="dxa"/>
            <w:tcBorders>
              <w:top w:val="nil"/>
              <w:bottom w:val="single" w:sz="4" w:space="0" w:color="auto"/>
            </w:tcBorders>
            <w:vAlign w:val="center"/>
          </w:tcPr>
          <w:p w:rsidR="006C64BF" w:rsidRDefault="006C64BF" w:rsidP="006B683A">
            <w:pPr>
              <w:keepNext/>
              <w:spacing w:before="0" w:after="0"/>
              <w:jc w:val="right"/>
            </w:pPr>
          </w:p>
        </w:tc>
      </w:tr>
      <w:tr w:rsidR="006C64BF" w:rsidTr="00B17630">
        <w:trPr>
          <w:trHeight w:val="397"/>
        </w:trPr>
        <w:tc>
          <w:tcPr>
            <w:tcW w:w="3652" w:type="dxa"/>
            <w:tcBorders>
              <w:top w:val="single" w:sz="4" w:space="0" w:color="auto"/>
            </w:tcBorders>
            <w:vAlign w:val="center"/>
          </w:tcPr>
          <w:p w:rsidR="006C64BF" w:rsidRDefault="006C64BF" w:rsidP="006B683A">
            <w:pPr>
              <w:keepNext/>
              <w:spacing w:before="0" w:after="0"/>
              <w:jc w:val="left"/>
            </w:pPr>
            <w:r>
              <w:t>Prázdná hmotnost</w:t>
            </w:r>
          </w:p>
        </w:tc>
        <w:tc>
          <w:tcPr>
            <w:tcW w:w="851" w:type="dxa"/>
            <w:tcBorders>
              <w:top w:val="single" w:sz="4" w:space="0" w:color="auto"/>
            </w:tcBorders>
            <w:vAlign w:val="center"/>
          </w:tcPr>
          <w:p w:rsidR="006C64BF" w:rsidRPr="007A58B6" w:rsidRDefault="006C64BF" w:rsidP="006B683A">
            <w:pPr>
              <w:keepNext/>
              <w:spacing w:before="0" w:after="0"/>
              <w:jc w:val="center"/>
              <w:rPr>
                <w:lang w:val="en-US"/>
              </w:rPr>
            </w:pPr>
            <w:r>
              <w:rPr>
                <w:lang w:val="en-US"/>
              </w:rPr>
              <w:t>[kg]</w:t>
            </w:r>
          </w:p>
        </w:tc>
        <w:tc>
          <w:tcPr>
            <w:tcW w:w="2016" w:type="dxa"/>
            <w:tcBorders>
              <w:top w:val="single" w:sz="4" w:space="0" w:color="auto"/>
            </w:tcBorders>
            <w:vAlign w:val="center"/>
          </w:tcPr>
          <w:p w:rsidR="006C64BF" w:rsidRDefault="006C64BF" w:rsidP="006B683A">
            <w:pPr>
              <w:keepNext/>
              <w:spacing w:before="0" w:after="0"/>
              <w:jc w:val="right"/>
            </w:pPr>
            <w:r>
              <w:t>5</w:t>
            </w:r>
            <w:r w:rsidR="00402561">
              <w:t> </w:t>
            </w:r>
            <w:r>
              <w:t>600</w:t>
            </w:r>
          </w:p>
        </w:tc>
        <w:tc>
          <w:tcPr>
            <w:tcW w:w="2769" w:type="dxa"/>
            <w:tcBorders>
              <w:top w:val="single" w:sz="4" w:space="0" w:color="auto"/>
            </w:tcBorders>
            <w:vAlign w:val="center"/>
          </w:tcPr>
          <w:p w:rsidR="006C64BF" w:rsidRDefault="006C64BF" w:rsidP="006B683A">
            <w:pPr>
              <w:keepNext/>
              <w:spacing w:before="0" w:after="0"/>
              <w:jc w:val="right"/>
            </w:pPr>
          </w:p>
        </w:tc>
      </w:tr>
      <w:tr w:rsidR="006C64BF" w:rsidTr="00B17630">
        <w:trPr>
          <w:trHeight w:val="397"/>
        </w:trPr>
        <w:tc>
          <w:tcPr>
            <w:tcW w:w="3652" w:type="dxa"/>
            <w:vAlign w:val="center"/>
          </w:tcPr>
          <w:p w:rsidR="006C64BF" w:rsidRDefault="006C64BF" w:rsidP="00B17630">
            <w:pPr>
              <w:spacing w:before="0" w:after="0"/>
              <w:jc w:val="left"/>
            </w:pPr>
            <w:r>
              <w:t>Provozní hmotnost</w:t>
            </w:r>
          </w:p>
        </w:tc>
        <w:tc>
          <w:tcPr>
            <w:tcW w:w="851" w:type="dxa"/>
            <w:vAlign w:val="center"/>
          </w:tcPr>
          <w:p w:rsidR="006C64BF" w:rsidRPr="007A58B6" w:rsidRDefault="006C64BF" w:rsidP="00B17630">
            <w:pPr>
              <w:spacing w:before="0" w:after="0"/>
              <w:jc w:val="center"/>
            </w:pPr>
            <w:r>
              <w:rPr>
                <w:lang w:val="en-US"/>
              </w:rPr>
              <w:t>[kg]</w:t>
            </w:r>
          </w:p>
        </w:tc>
        <w:tc>
          <w:tcPr>
            <w:tcW w:w="2016" w:type="dxa"/>
            <w:vAlign w:val="center"/>
          </w:tcPr>
          <w:p w:rsidR="006C64BF" w:rsidRDefault="006C64BF" w:rsidP="00B17630">
            <w:pPr>
              <w:spacing w:before="0" w:after="0"/>
              <w:jc w:val="right"/>
            </w:pPr>
            <w:r>
              <w:t>6</w:t>
            </w:r>
            <w:r w:rsidR="00402561">
              <w:t> </w:t>
            </w:r>
            <w:r>
              <w:t>100</w:t>
            </w:r>
          </w:p>
        </w:tc>
        <w:tc>
          <w:tcPr>
            <w:tcW w:w="2769" w:type="dxa"/>
            <w:vAlign w:val="center"/>
          </w:tcPr>
          <w:p w:rsidR="006C64BF" w:rsidRDefault="006C64BF" w:rsidP="00B17630">
            <w:pPr>
              <w:spacing w:before="0" w:after="0"/>
              <w:jc w:val="right"/>
            </w:pPr>
          </w:p>
        </w:tc>
      </w:tr>
    </w:tbl>
    <w:p w:rsidR="006C64BF" w:rsidRDefault="006C64BF" w:rsidP="006C64BF">
      <w:r>
        <w:t>Při dopravě po částech je nejrozměrnější částí rám (D × Š × V, 3</w:t>
      </w:r>
      <w:r w:rsidR="00402561">
        <w:t> </w:t>
      </w:r>
      <w:r>
        <w:t>583 × 1</w:t>
      </w:r>
      <w:r w:rsidR="00402561">
        <w:t> </w:t>
      </w:r>
      <w:r>
        <w:t>600 × 1</w:t>
      </w:r>
      <w:r w:rsidR="00402561">
        <w:t> </w:t>
      </w:r>
      <w:r>
        <w:t xml:space="preserve">000 mm). Ten by vzhledem ke své délce musel být do otvoru vsunut. Rozměry motoru (viz </w:t>
      </w:r>
      <w:r>
        <w:fldChar w:fldCharType="begin"/>
      </w:r>
      <w:r>
        <w:instrText xml:space="preserve"> REF _Ref57281278 \h </w:instrText>
      </w:r>
      <w:r>
        <w:fldChar w:fldCharType="separate"/>
      </w:r>
      <w:r w:rsidR="00816426">
        <w:t xml:space="preserve">Obr. </w:t>
      </w:r>
      <w:r w:rsidR="00816426">
        <w:rPr>
          <w:noProof/>
        </w:rPr>
        <w:t>12</w:t>
      </w:r>
      <w:r>
        <w:fldChar w:fldCharType="end"/>
      </w:r>
      <w:r>
        <w:t xml:space="preserve">) a generátoru už jsou s dostatečnou rezervou menší než vnitřní rozměry otvoru. Důležité bude při dopravě motoru a generátoru zohlednit jejich hmotnost.    </w:t>
      </w:r>
    </w:p>
    <w:p w:rsidR="006C64BF" w:rsidRDefault="006C64BF" w:rsidP="006C64BF">
      <w:r>
        <w:t>Zvýšené investiční náklady spojené s demontáží a montáží jednotky až na místě jsou výrobcem stanoveny na 400 tis. Kč</w:t>
      </w:r>
      <w:r w:rsidR="006E0793">
        <w:t xml:space="preserve"> bez DPH</w:t>
      </w:r>
      <w:r>
        <w:t>.</w:t>
      </w:r>
    </w:p>
    <w:p w:rsidR="006C64BF" w:rsidRDefault="006C64BF" w:rsidP="006C64BF"/>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6C64BF" w:rsidTr="00B17630">
        <w:tc>
          <w:tcPr>
            <w:tcW w:w="9288" w:type="dxa"/>
          </w:tcPr>
          <w:p w:rsidR="006C64BF" w:rsidRDefault="006C64BF" w:rsidP="00B17630">
            <w:pPr>
              <w:keepNext/>
            </w:pPr>
            <w:r>
              <w:rPr>
                <w:noProof/>
                <w:lang w:eastAsia="cs-CZ"/>
              </w:rPr>
              <w:drawing>
                <wp:inline distT="0" distB="0" distL="0" distR="0" wp14:anchorId="6D98705C" wp14:editId="0C1B6B2B">
                  <wp:extent cx="5760720" cy="35306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OZMĚRY_KGJ.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60720" cy="3530600"/>
                          </a:xfrm>
                          <a:prstGeom prst="rect">
                            <a:avLst/>
                          </a:prstGeom>
                        </pic:spPr>
                      </pic:pic>
                    </a:graphicData>
                  </a:graphic>
                </wp:inline>
              </w:drawing>
            </w:r>
          </w:p>
        </w:tc>
      </w:tr>
      <w:tr w:rsidR="006C64BF" w:rsidTr="00B17630">
        <w:tc>
          <w:tcPr>
            <w:tcW w:w="9288" w:type="dxa"/>
          </w:tcPr>
          <w:p w:rsidR="006C64BF" w:rsidRPr="00A62074" w:rsidRDefault="006C64BF" w:rsidP="00B17630">
            <w:pPr>
              <w:pStyle w:val="Obrzek"/>
              <w:keepNext w:val="0"/>
            </w:pPr>
            <w:bookmarkStart w:id="83" w:name="_Ref56337534"/>
            <w:r>
              <w:t xml:space="preserve">Obr. </w:t>
            </w:r>
            <w:fldSimple w:instr=" SEQ Obr. \* ARABIC ">
              <w:r w:rsidR="00816426">
                <w:rPr>
                  <w:noProof/>
                </w:rPr>
                <w:t>11</w:t>
              </w:r>
            </w:fldSimple>
            <w:bookmarkEnd w:id="83"/>
            <w:r>
              <w:t xml:space="preserve"> Rozměry kogenerační jednotky </w:t>
            </w:r>
            <w:r>
              <w:rPr>
                <w:lang w:val="en-US"/>
              </w:rPr>
              <w:t>[6]</w:t>
            </w:r>
          </w:p>
        </w:tc>
      </w:tr>
      <w:tr w:rsidR="006C64BF" w:rsidTr="00B17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88" w:type="dxa"/>
            <w:tcBorders>
              <w:top w:val="nil"/>
              <w:left w:val="nil"/>
              <w:bottom w:val="nil"/>
              <w:right w:val="nil"/>
            </w:tcBorders>
          </w:tcPr>
          <w:p w:rsidR="006C64BF" w:rsidRDefault="006C64BF" w:rsidP="00B17630">
            <w:pPr>
              <w:keepNext/>
              <w:jc w:val="center"/>
            </w:pPr>
            <w:r>
              <w:rPr>
                <w:noProof/>
                <w:lang w:eastAsia="cs-CZ"/>
              </w:rPr>
              <w:drawing>
                <wp:inline distT="0" distB="0" distL="0" distR="0" wp14:anchorId="12EAF9E9" wp14:editId="5B821657">
                  <wp:extent cx="5667375" cy="3311525"/>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OZMĚRY_MOTOR_KGJ.png"/>
                          <pic:cNvPicPr/>
                        </pic:nvPicPr>
                        <pic:blipFill rotWithShape="1">
                          <a:blip r:embed="rId43">
                            <a:extLst>
                              <a:ext uri="{28A0092B-C50C-407E-A947-70E740481C1C}">
                                <a14:useLocalDpi xmlns:a14="http://schemas.microsoft.com/office/drawing/2010/main" val="0"/>
                              </a:ext>
                            </a:extLst>
                          </a:blip>
                          <a:srcRect r="1621"/>
                          <a:stretch/>
                        </pic:blipFill>
                        <pic:spPr bwMode="auto">
                          <a:xfrm>
                            <a:off x="0" y="0"/>
                            <a:ext cx="5667375" cy="3311525"/>
                          </a:xfrm>
                          <a:prstGeom prst="rect">
                            <a:avLst/>
                          </a:prstGeom>
                          <a:ln>
                            <a:noFill/>
                          </a:ln>
                          <a:extLst>
                            <a:ext uri="{53640926-AAD7-44D8-BBD7-CCE9431645EC}">
                              <a14:shadowObscured xmlns:a14="http://schemas.microsoft.com/office/drawing/2010/main"/>
                            </a:ext>
                          </a:extLst>
                        </pic:spPr>
                      </pic:pic>
                    </a:graphicData>
                  </a:graphic>
                </wp:inline>
              </w:drawing>
            </w:r>
          </w:p>
        </w:tc>
      </w:tr>
      <w:tr w:rsidR="006C64BF" w:rsidTr="00B176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88" w:type="dxa"/>
            <w:tcBorders>
              <w:top w:val="nil"/>
              <w:left w:val="nil"/>
              <w:bottom w:val="nil"/>
              <w:right w:val="nil"/>
            </w:tcBorders>
          </w:tcPr>
          <w:p w:rsidR="006C64BF" w:rsidRDefault="006C64BF" w:rsidP="00B17630">
            <w:pPr>
              <w:pStyle w:val="Obrzek"/>
            </w:pPr>
            <w:bookmarkStart w:id="84" w:name="_Ref57281278"/>
            <w:r>
              <w:t xml:space="preserve">Obr. </w:t>
            </w:r>
            <w:fldSimple w:instr=" SEQ Obr. \* ARABIC ">
              <w:r w:rsidR="00816426">
                <w:rPr>
                  <w:noProof/>
                </w:rPr>
                <w:t>12</w:t>
              </w:r>
            </w:fldSimple>
            <w:bookmarkEnd w:id="84"/>
            <w:r>
              <w:t xml:space="preserve"> Rozměry a hmotnost motoru kogenerační jednotky</w:t>
            </w:r>
          </w:p>
        </w:tc>
      </w:tr>
    </w:tbl>
    <w:p w:rsidR="006C64BF" w:rsidRDefault="006C64BF" w:rsidP="006C64BF">
      <w:r>
        <w:t>Varianta by pak zahrnovala demontáž dvou kotlů (ve výkresech označeny K2, K3 – BUDERUS G605-1000, výkon 1</w:t>
      </w:r>
      <w:r w:rsidR="00402561">
        <w:t> </w:t>
      </w:r>
      <w:r>
        <w:t>100 kW).</w:t>
      </w:r>
    </w:p>
    <w:p w:rsidR="00370BDE" w:rsidRDefault="00370BDE" w:rsidP="00370BDE">
      <w:pPr>
        <w:pStyle w:val="Nadpis3"/>
      </w:pPr>
      <w:bookmarkStart w:id="85" w:name="_Ref58225493"/>
      <w:bookmarkStart w:id="86" w:name="_Toc58949367"/>
      <w:r>
        <w:t>Režim provozu KGJ, případná porucha</w:t>
      </w:r>
      <w:bookmarkEnd w:id="85"/>
      <w:bookmarkEnd w:id="86"/>
    </w:p>
    <w:p w:rsidR="00C545B5" w:rsidRPr="00C545B5" w:rsidRDefault="00C545B5" w:rsidP="00B416F0">
      <w:pPr>
        <w:rPr>
          <w:b/>
        </w:rPr>
      </w:pPr>
      <w:r w:rsidRPr="00C545B5">
        <w:rPr>
          <w:b/>
        </w:rPr>
        <w:t>Roční doba provozu</w:t>
      </w:r>
    </w:p>
    <w:p w:rsidR="00B416F0" w:rsidRDefault="00B416F0" w:rsidP="00B416F0">
      <w:r>
        <w:t>Z důvodu, že není možné využít teplo vyrobené v letním období pro chlazení, omezí se provoz KGJ pouze na 3</w:t>
      </w:r>
      <w:r w:rsidR="00402561">
        <w:t> </w:t>
      </w:r>
      <w:r>
        <w:t xml:space="preserve">000 h ročně. </w:t>
      </w:r>
      <w:r w:rsidR="00C545B5">
        <w:t>J</w:t>
      </w:r>
      <w:r>
        <w:t>e tedy počítáno s tím, že kogenerační jednotka přes letní měsíce nebude provozována, nebo bude provozována minimálně – viz dále. Z toho vyplývá nižší požadavek na větrací vzduch.</w:t>
      </w:r>
    </w:p>
    <w:p w:rsidR="00C545B5" w:rsidRPr="00C545B5" w:rsidRDefault="00C545B5" w:rsidP="00B416F0">
      <w:pPr>
        <w:rPr>
          <w:b/>
        </w:rPr>
      </w:pPr>
      <w:r w:rsidRPr="00C545B5">
        <w:rPr>
          <w:b/>
        </w:rPr>
        <w:t>Porucha kogenerační jednotky</w:t>
      </w:r>
    </w:p>
    <w:p w:rsidR="00B416F0" w:rsidRDefault="00B416F0" w:rsidP="00B416F0">
      <w:r>
        <w:t>Tepelný výkon kogenerační jednotky by v případě její poruchy v zimním období byl stejně jako u varianty A pohodlně nahrazen tepelným výkonem stávajících kotlů. Výhodou oproti variantě A je to, že výpadek KGJ nemůže ohrozit letní chlazení zdroje chladu 3.</w:t>
      </w:r>
    </w:p>
    <w:p w:rsidR="00C545B5" w:rsidRPr="002328C1" w:rsidRDefault="00C545B5" w:rsidP="00B416F0">
      <w:pPr>
        <w:rPr>
          <w:b/>
        </w:rPr>
      </w:pPr>
      <w:r w:rsidRPr="002328C1">
        <w:rPr>
          <w:b/>
        </w:rPr>
        <w:t>Harmonogram provozu KGJ</w:t>
      </w:r>
    </w:p>
    <w:p w:rsidR="00B416F0" w:rsidRDefault="00B416F0" w:rsidP="00B416F0">
      <w:r>
        <w:t>Harmonogram provozu kogenerační jednotky je následující. Hlavními parametry pro volbu výkonu KGJ jsou</w:t>
      </w:r>
      <w:r w:rsidR="006E0793">
        <w:t xml:space="preserve"> splnění emisních limitů,</w:t>
      </w:r>
      <w:r>
        <w:t xml:space="preserve"> spotřeby elektrické energie a tepla v budově. Aktuální spotřeba elektrické energie v budově v roce 2019 v 99 % měřeních neklesla pod 296 kW, v roce 2020 99 % měřeních neklesla pod 289 kW. </w:t>
      </w:r>
      <w:r w:rsidRPr="00207E83">
        <w:rPr>
          <w:b/>
        </w:rPr>
        <w:t xml:space="preserve">Je tedy zřejmé, že všechna elektrická energie vyrobená kogenerační jednotkou o elektrickém výkonu 263 kW bude v budově spotřebována.  </w:t>
      </w:r>
      <w:r>
        <w:t>Není tedy uvažováno o prodeji elektrické energie zpět do sítě.</w:t>
      </w:r>
    </w:p>
    <w:p w:rsidR="00914D75" w:rsidRDefault="00914D75" w:rsidP="00914D75">
      <w:r>
        <w:t xml:space="preserve">Spotřebu tepla v jednotlivých měsících a předpokládanou denní dobu provozu KGJ ukazuje </w:t>
      </w:r>
      <w:r>
        <w:fldChar w:fldCharType="begin"/>
      </w:r>
      <w:r>
        <w:instrText xml:space="preserve"> REF _Ref56438273 \h </w:instrText>
      </w:r>
      <w:r>
        <w:fldChar w:fldCharType="separate"/>
      </w:r>
      <w:r w:rsidR="00816426">
        <w:t xml:space="preserve">Tab. </w:t>
      </w:r>
      <w:r w:rsidR="00816426">
        <w:rPr>
          <w:noProof/>
        </w:rPr>
        <w:t>10</w:t>
      </w:r>
      <w:r>
        <w:fldChar w:fldCharType="end"/>
      </w:r>
      <w:r>
        <w:t xml:space="preserve">. Při tvorbě tabulky bylo vycházeno z měřených spotřeb plynu v roce 2019, účinnosti kotle (dle </w:t>
      </w:r>
      <w:r w:rsidR="006E0793">
        <w:t>podkladů</w:t>
      </w:r>
      <w:r>
        <w:t xml:space="preserve"> 92 %), tepelného výkonu KGJ 390 kW.</w:t>
      </w:r>
    </w:p>
    <w:p w:rsidR="00402561" w:rsidRDefault="00402561" w:rsidP="00402561">
      <w:r>
        <w:t xml:space="preserve">Z uvedené tabulky je patrné, že jednotka během svých 2 998,25 h provozu ročně vyrobí 1 169,3 MWh tepelné energie a 788,5 MWh elektrické energie. Pro tento režim provozu bude dotace KVET činit 517 256 Kč. </w:t>
      </w:r>
    </w:p>
    <w:p w:rsidR="00402561" w:rsidRDefault="00402561" w:rsidP="00402561">
      <w:r>
        <w:t xml:space="preserve">Jednou z nevýhod provozu KGJ ve variantě B je skutečnost, že provozem KGJ nelze výrazně snížit maximální rezervovanou kapacitu elektrické energie. Z důvodu toho, že okamžitá spotřeba elektrické energie dosahuje svých maxim během letních měsíců (především červen, červenec). Pokud by byla KGJ provozována v těchto měsících po delší časový úsek, nebylo by pak možné spotřebovat vyrobené teplo. Dalším důvodem nemožnosti snížení maximální rezervované kapacity elektrické energie je právě nově samotné nově instalované kompresorové chladicí zařízení (zdroj chladu 3). </w:t>
      </w:r>
    </w:p>
    <w:p w:rsidR="002328C1" w:rsidRPr="002328C1" w:rsidRDefault="002328C1" w:rsidP="00402561">
      <w:pPr>
        <w:rPr>
          <w:b/>
        </w:rPr>
      </w:pPr>
      <w:r w:rsidRPr="002328C1">
        <w:rPr>
          <w:b/>
        </w:rPr>
        <w:t>Letní provoz KGJ</w:t>
      </w:r>
    </w:p>
    <w:p w:rsidR="00402561" w:rsidRPr="0013470C" w:rsidRDefault="002328C1" w:rsidP="00402561">
      <w:r w:rsidRPr="0013470C">
        <w:t>Součástí výkresových příloh (</w:t>
      </w:r>
      <w:r w:rsidRPr="0013470C">
        <w:fldChar w:fldCharType="begin"/>
      </w:r>
      <w:r w:rsidRPr="0013470C">
        <w:instrText xml:space="preserve"> REF _Ref58248604 \h </w:instrText>
      </w:r>
      <w:r w:rsidR="00FA5105" w:rsidRPr="0013470C">
        <w:instrText xml:space="preserve"> \* MERGEFORMAT </w:instrText>
      </w:r>
      <w:r w:rsidRPr="0013470C">
        <w:fldChar w:fldCharType="separate"/>
      </w:r>
      <w:r w:rsidR="00816426" w:rsidRPr="002410EE">
        <w:t xml:space="preserve">Příloha č. </w:t>
      </w:r>
      <w:r w:rsidR="00816426">
        <w:rPr>
          <w:noProof/>
        </w:rPr>
        <w:t>13</w:t>
      </w:r>
      <w:r w:rsidRPr="0013470C">
        <w:fldChar w:fldCharType="end"/>
      </w:r>
      <w:r w:rsidRPr="0013470C">
        <w:t>) je napojení, ze kterého je možné distribuovat horkou vodu do podružného rozdělovače (ohřev TV), aby v letních měsících nemusel být vytápěn centrální rozdělovač a sběrač.</w:t>
      </w:r>
    </w:p>
    <w:p w:rsidR="00715A57" w:rsidRDefault="0013470C" w:rsidP="00715A57">
      <w:r>
        <w:t>Provoz KGJ v létě je u varianty B navržen pouze ve velmi omezené míře tak, aby mohlo dojít k ořezání absolutních maxim okamžité spotřeby elektrické energie.</w:t>
      </w:r>
      <w:r w:rsidR="00715A57">
        <w:t xml:space="preserve"> Avšak vzhledem k tomu, aby nedocházelo k častému najíždění</w:t>
      </w:r>
      <w:r>
        <w:t xml:space="preserve"> </w:t>
      </w:r>
      <w:r w:rsidR="00715A57">
        <w:t xml:space="preserve">kogenerační jednotky, a tedy potenciálnímu zvýšení produkce emisí, bude </w:t>
      </w:r>
      <w:r w:rsidR="00715A57" w:rsidRPr="00715A57">
        <w:rPr>
          <w:b/>
        </w:rPr>
        <w:t>kogenerační jednotka spínána</w:t>
      </w:r>
      <w:r w:rsidR="00304FF1">
        <w:rPr>
          <w:b/>
        </w:rPr>
        <w:t xml:space="preserve"> a vypínána</w:t>
      </w:r>
      <w:r w:rsidR="00715A57" w:rsidRPr="00715A57">
        <w:rPr>
          <w:b/>
        </w:rPr>
        <w:t xml:space="preserve"> maximálně dvakrát denně</w:t>
      </w:r>
      <w:r w:rsidR="00715A57">
        <w:t xml:space="preserve">. </w:t>
      </w:r>
      <w:r w:rsidR="0027428D">
        <w:t>V případě, že bude v letním období tepelný výkon produkovaný kogenerační jednotkou vyšší než momentální potřebný výkon pro ohřev teplé vody, bude teplo akumulováno v akumulačních zásobnících.</w:t>
      </w:r>
    </w:p>
    <w:p w:rsidR="00983553" w:rsidRDefault="00715A57" w:rsidP="00715A57">
      <w:r>
        <w:t>Další možností (při dodržení podmínky zapnutí/vypnutí KGJ max. dvakrát denně) pro investora je provozovat KGJ v létě delší časový interval (např. 3–4 h) na snížený výkon (min. 50 % max. výkonu). Emisně to je v pořádku. KGJ má při nižším výkonu vyšší tepelnou účinnost (nižší elektrickou).</w:t>
      </w:r>
    </w:p>
    <w:p w:rsidR="00207E83" w:rsidRDefault="00715A57" w:rsidP="00715A57">
      <w:r>
        <w:t>Volba provozu bude záviset na ekonomickém rozhodnutí investora. Vzhledem k omezeným hodinám provozu KGJ (podpora KVET)</w:t>
      </w:r>
      <w:r w:rsidR="00983553">
        <w:t xml:space="preserve"> kogenerační jednotka v případě sníženého výkonu vyrobí méně elektrické energie, na druhou stranu však může dojít k dokonalejšímu ořezání maximálního odběru elektrické energie.</w:t>
      </w:r>
    </w:p>
    <w:p w:rsidR="00715A57" w:rsidRPr="002328C1" w:rsidRDefault="00715A57" w:rsidP="00715A57">
      <w:pPr>
        <w:sectPr w:rsidR="00715A57" w:rsidRPr="002328C1" w:rsidSect="00F91C8B">
          <w:footerReference w:type="default" r:id="rId44"/>
          <w:pgSz w:w="11906" w:h="16838"/>
          <w:pgMar w:top="1417" w:right="1417" w:bottom="1417" w:left="1417" w:header="709" w:footer="709" w:gutter="0"/>
          <w:cols w:space="708"/>
          <w:docGrid w:linePitch="360"/>
        </w:sectPr>
      </w:pPr>
    </w:p>
    <w:p w:rsidR="001853D0" w:rsidRDefault="001853D0" w:rsidP="001853D0">
      <w:pPr>
        <w:pStyle w:val="Tabulka"/>
      </w:pPr>
      <w:bookmarkStart w:id="87" w:name="_Ref56438273"/>
      <w:r>
        <w:t xml:space="preserve">Tab. </w:t>
      </w:r>
      <w:fldSimple w:instr=" SEQ Tab. \* ARABIC ">
        <w:r w:rsidR="00816426">
          <w:rPr>
            <w:noProof/>
          </w:rPr>
          <w:t>10</w:t>
        </w:r>
      </w:fldSimple>
      <w:bookmarkEnd w:id="87"/>
      <w:r>
        <w:t xml:space="preserve"> Spotřeba tepla v jednotlivých měsících roku 2019, navržená </w:t>
      </w:r>
      <w:r w:rsidR="00B85E93">
        <w:t>doba provozu nové KGJ – varianta B</w:t>
      </w:r>
    </w:p>
    <w:tbl>
      <w:tblPr>
        <w:tblStyle w:val="Mkatabulky"/>
        <w:tblW w:w="0" w:type="auto"/>
        <w:tblBorders>
          <w:top w:val="single" w:sz="12"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1262"/>
        <w:gridCol w:w="1540"/>
        <w:gridCol w:w="2162"/>
        <w:gridCol w:w="1523"/>
        <w:gridCol w:w="1559"/>
        <w:gridCol w:w="1985"/>
        <w:gridCol w:w="1559"/>
        <w:gridCol w:w="1559"/>
      </w:tblGrid>
      <w:tr w:rsidR="00B85E93" w:rsidTr="0027428D">
        <w:tc>
          <w:tcPr>
            <w:tcW w:w="1262" w:type="dxa"/>
            <w:vAlign w:val="center"/>
          </w:tcPr>
          <w:p w:rsidR="00B85E93" w:rsidRDefault="00B85E93" w:rsidP="00B85E93">
            <w:pPr>
              <w:jc w:val="center"/>
            </w:pPr>
            <w:r>
              <w:t>Měsíc</w:t>
            </w:r>
          </w:p>
        </w:tc>
        <w:tc>
          <w:tcPr>
            <w:tcW w:w="1540" w:type="dxa"/>
            <w:vAlign w:val="center"/>
          </w:tcPr>
          <w:p w:rsidR="00B85E93" w:rsidRPr="003A0374" w:rsidRDefault="00B85E93" w:rsidP="00B85E93">
            <w:pPr>
              <w:jc w:val="center"/>
            </w:pPr>
            <w:r>
              <w:t xml:space="preserve">Tep. výkon dodaný kotlem </w:t>
            </w:r>
            <w:r>
              <w:rPr>
                <w:lang w:val="en-US"/>
              </w:rPr>
              <w:t>[MWh]</w:t>
            </w:r>
          </w:p>
        </w:tc>
        <w:tc>
          <w:tcPr>
            <w:tcW w:w="2162" w:type="dxa"/>
            <w:vAlign w:val="center"/>
          </w:tcPr>
          <w:p w:rsidR="00B85E93" w:rsidRPr="003A0374" w:rsidRDefault="00B85E93" w:rsidP="00B85E93">
            <w:pPr>
              <w:jc w:val="center"/>
            </w:pPr>
            <w:r>
              <w:t xml:space="preserve">Teoretická (max.) denní doba provozu KGJ (dodání tep. výkonu) </w:t>
            </w:r>
            <w:r>
              <w:rPr>
                <w:lang w:val="en-US"/>
              </w:rPr>
              <w:t>[h]</w:t>
            </w:r>
          </w:p>
        </w:tc>
        <w:tc>
          <w:tcPr>
            <w:tcW w:w="1523" w:type="dxa"/>
            <w:vAlign w:val="center"/>
          </w:tcPr>
          <w:p w:rsidR="00B85E93" w:rsidRPr="003A0374" w:rsidRDefault="00B85E93" w:rsidP="00B85E93">
            <w:pPr>
              <w:jc w:val="center"/>
            </w:pPr>
            <w:r>
              <w:t xml:space="preserve">Navržená denní doba provozu KGJ </w:t>
            </w:r>
            <w:r>
              <w:rPr>
                <w:lang w:val="en-US"/>
              </w:rPr>
              <w:t>[h]</w:t>
            </w:r>
          </w:p>
        </w:tc>
        <w:tc>
          <w:tcPr>
            <w:tcW w:w="1559" w:type="dxa"/>
            <w:vAlign w:val="center"/>
          </w:tcPr>
          <w:p w:rsidR="00B85E93" w:rsidRPr="000B7D65" w:rsidRDefault="00B85E93" w:rsidP="00B85E93">
            <w:pPr>
              <w:jc w:val="center"/>
            </w:pPr>
            <w:r>
              <w:t xml:space="preserve">Počet dní v měsíci, kdy je jednotka v provozu </w:t>
            </w:r>
            <w:r>
              <w:rPr>
                <w:lang w:val="en-US"/>
              </w:rPr>
              <w:t>[-]</w:t>
            </w:r>
          </w:p>
        </w:tc>
        <w:tc>
          <w:tcPr>
            <w:tcW w:w="1985" w:type="dxa"/>
            <w:vAlign w:val="center"/>
          </w:tcPr>
          <w:p w:rsidR="00B85E93" w:rsidRPr="000B7D65" w:rsidRDefault="00B85E93" w:rsidP="00B85E93">
            <w:pPr>
              <w:jc w:val="center"/>
            </w:pPr>
            <w:r>
              <w:t xml:space="preserve">Počet hodin v měsíci, kdy je jednotka v provozu </w:t>
            </w:r>
            <w:r>
              <w:rPr>
                <w:lang w:val="en-US"/>
              </w:rPr>
              <w:t>[h]</w:t>
            </w:r>
          </w:p>
        </w:tc>
        <w:tc>
          <w:tcPr>
            <w:tcW w:w="1559" w:type="dxa"/>
            <w:vAlign w:val="center"/>
          </w:tcPr>
          <w:p w:rsidR="00B85E93" w:rsidRPr="00B85E93" w:rsidRDefault="00B85E93" w:rsidP="00B85E93">
            <w:pPr>
              <w:jc w:val="center"/>
            </w:pPr>
            <w:r>
              <w:t xml:space="preserve">Množství vyrobeného tepla KGJ </w:t>
            </w:r>
            <w:r>
              <w:rPr>
                <w:lang w:val="en-US"/>
              </w:rPr>
              <w:t>[MWh]</w:t>
            </w:r>
          </w:p>
        </w:tc>
        <w:tc>
          <w:tcPr>
            <w:tcW w:w="1559" w:type="dxa"/>
            <w:vAlign w:val="center"/>
          </w:tcPr>
          <w:p w:rsidR="00B85E93" w:rsidRPr="00B85E93" w:rsidRDefault="00B85E93" w:rsidP="00B85E93">
            <w:pPr>
              <w:jc w:val="center"/>
            </w:pPr>
            <w:r>
              <w:t xml:space="preserve">Množství vyrobené el. energie KGJ </w:t>
            </w:r>
            <w:r>
              <w:rPr>
                <w:lang w:val="en-US"/>
              </w:rPr>
              <w:t>[MWh]</w:t>
            </w:r>
          </w:p>
        </w:tc>
      </w:tr>
      <w:tr w:rsidR="00B85E93" w:rsidTr="0027428D">
        <w:trPr>
          <w:trHeight w:val="397"/>
        </w:trPr>
        <w:tc>
          <w:tcPr>
            <w:tcW w:w="1262" w:type="dxa"/>
            <w:vAlign w:val="center"/>
          </w:tcPr>
          <w:p w:rsidR="00B85E93" w:rsidRDefault="00B85E93" w:rsidP="00B85E93">
            <w:pPr>
              <w:spacing w:before="0" w:after="0"/>
              <w:jc w:val="left"/>
            </w:pPr>
            <w:r>
              <w:t>Leden</w:t>
            </w:r>
          </w:p>
        </w:tc>
        <w:tc>
          <w:tcPr>
            <w:tcW w:w="1540" w:type="dxa"/>
            <w:vAlign w:val="center"/>
          </w:tcPr>
          <w:p w:rsidR="00B85E93" w:rsidRDefault="00B85E93" w:rsidP="00B85E93">
            <w:pPr>
              <w:spacing w:before="0" w:after="0"/>
              <w:jc w:val="right"/>
            </w:pPr>
            <w:r>
              <w:t>748,5</w:t>
            </w:r>
          </w:p>
        </w:tc>
        <w:tc>
          <w:tcPr>
            <w:tcW w:w="2162" w:type="dxa"/>
            <w:vAlign w:val="center"/>
          </w:tcPr>
          <w:p w:rsidR="00B85E93" w:rsidRDefault="00B85E93" w:rsidP="00B85E93">
            <w:pPr>
              <w:spacing w:before="0" w:after="0"/>
              <w:jc w:val="right"/>
            </w:pPr>
            <w:r>
              <w:t>61,9</w:t>
            </w:r>
          </w:p>
        </w:tc>
        <w:tc>
          <w:tcPr>
            <w:tcW w:w="1523" w:type="dxa"/>
            <w:vAlign w:val="center"/>
          </w:tcPr>
          <w:p w:rsidR="00B85E93" w:rsidRDefault="00B85E93" w:rsidP="00B85E93">
            <w:pPr>
              <w:spacing w:before="0" w:after="0"/>
              <w:jc w:val="right"/>
            </w:pPr>
            <w:r>
              <w:t>20</w:t>
            </w:r>
          </w:p>
        </w:tc>
        <w:tc>
          <w:tcPr>
            <w:tcW w:w="1559" w:type="dxa"/>
            <w:vAlign w:val="center"/>
          </w:tcPr>
          <w:p w:rsidR="00B85E93" w:rsidRDefault="00B85E93" w:rsidP="00B85E93">
            <w:pPr>
              <w:spacing w:before="0" w:after="0"/>
              <w:jc w:val="right"/>
            </w:pPr>
            <w:r>
              <w:t>31</w:t>
            </w:r>
          </w:p>
        </w:tc>
        <w:tc>
          <w:tcPr>
            <w:tcW w:w="1985" w:type="dxa"/>
            <w:vAlign w:val="center"/>
          </w:tcPr>
          <w:p w:rsidR="00B85E93" w:rsidRPr="00614E2D" w:rsidRDefault="00B85E93" w:rsidP="00B85E93">
            <w:pPr>
              <w:spacing w:before="0" w:after="0"/>
              <w:jc w:val="right"/>
            </w:pPr>
            <w:r w:rsidRPr="00614E2D">
              <w:t>620</w:t>
            </w:r>
          </w:p>
        </w:tc>
        <w:tc>
          <w:tcPr>
            <w:tcW w:w="1559" w:type="dxa"/>
            <w:vAlign w:val="center"/>
          </w:tcPr>
          <w:p w:rsidR="00B85E93" w:rsidRPr="004A422C" w:rsidRDefault="00B85E93" w:rsidP="00B85E93">
            <w:pPr>
              <w:spacing w:before="0" w:after="0"/>
              <w:jc w:val="right"/>
            </w:pPr>
            <w:r w:rsidRPr="004A422C">
              <w:t>241,8</w:t>
            </w:r>
          </w:p>
        </w:tc>
        <w:tc>
          <w:tcPr>
            <w:tcW w:w="1559" w:type="dxa"/>
            <w:vAlign w:val="center"/>
          </w:tcPr>
          <w:p w:rsidR="00B85E93" w:rsidRPr="004A422C" w:rsidRDefault="00B85E93" w:rsidP="00B85E93">
            <w:pPr>
              <w:spacing w:before="0" w:after="0"/>
              <w:jc w:val="right"/>
            </w:pPr>
            <w:r w:rsidRPr="004A422C">
              <w:t>163,1</w:t>
            </w:r>
          </w:p>
        </w:tc>
      </w:tr>
      <w:tr w:rsidR="00B85E93" w:rsidTr="0027428D">
        <w:trPr>
          <w:trHeight w:val="397"/>
        </w:trPr>
        <w:tc>
          <w:tcPr>
            <w:tcW w:w="1262" w:type="dxa"/>
            <w:vAlign w:val="center"/>
          </w:tcPr>
          <w:p w:rsidR="00B85E93" w:rsidRDefault="00B85E93" w:rsidP="00B85E93">
            <w:pPr>
              <w:spacing w:before="0" w:after="0"/>
              <w:jc w:val="left"/>
            </w:pPr>
            <w:r>
              <w:t>Únor</w:t>
            </w:r>
          </w:p>
        </w:tc>
        <w:tc>
          <w:tcPr>
            <w:tcW w:w="1540" w:type="dxa"/>
            <w:vAlign w:val="center"/>
          </w:tcPr>
          <w:p w:rsidR="00B85E93" w:rsidRDefault="00B85E93" w:rsidP="00B85E93">
            <w:pPr>
              <w:spacing w:before="0" w:after="0"/>
              <w:jc w:val="right"/>
            </w:pPr>
            <w:r>
              <w:t>553,6</w:t>
            </w:r>
          </w:p>
        </w:tc>
        <w:tc>
          <w:tcPr>
            <w:tcW w:w="2162" w:type="dxa"/>
            <w:vAlign w:val="center"/>
          </w:tcPr>
          <w:p w:rsidR="00B85E93" w:rsidRDefault="00B85E93" w:rsidP="00B85E93">
            <w:pPr>
              <w:spacing w:before="0" w:after="0"/>
              <w:jc w:val="right"/>
            </w:pPr>
            <w:r>
              <w:t>50,7</w:t>
            </w:r>
          </w:p>
        </w:tc>
        <w:tc>
          <w:tcPr>
            <w:tcW w:w="1523" w:type="dxa"/>
            <w:vAlign w:val="center"/>
          </w:tcPr>
          <w:p w:rsidR="00B85E93" w:rsidRDefault="00B85E93" w:rsidP="00B85E93">
            <w:pPr>
              <w:spacing w:before="0" w:after="0"/>
              <w:jc w:val="right"/>
            </w:pPr>
            <w:r>
              <w:t>16</w:t>
            </w:r>
          </w:p>
        </w:tc>
        <w:tc>
          <w:tcPr>
            <w:tcW w:w="1559" w:type="dxa"/>
            <w:vAlign w:val="center"/>
          </w:tcPr>
          <w:p w:rsidR="00B85E93" w:rsidRDefault="00B85E93" w:rsidP="00B85E93">
            <w:pPr>
              <w:spacing w:before="0" w:after="0"/>
              <w:jc w:val="right"/>
            </w:pPr>
            <w:r>
              <w:t>28</w:t>
            </w:r>
          </w:p>
        </w:tc>
        <w:tc>
          <w:tcPr>
            <w:tcW w:w="1985" w:type="dxa"/>
            <w:vAlign w:val="center"/>
          </w:tcPr>
          <w:p w:rsidR="00B85E93" w:rsidRPr="00614E2D" w:rsidRDefault="00B85E93" w:rsidP="00B85E93">
            <w:pPr>
              <w:spacing w:before="0" w:after="0"/>
              <w:jc w:val="right"/>
            </w:pPr>
            <w:r w:rsidRPr="00614E2D">
              <w:t>448</w:t>
            </w:r>
          </w:p>
        </w:tc>
        <w:tc>
          <w:tcPr>
            <w:tcW w:w="1559" w:type="dxa"/>
            <w:vAlign w:val="center"/>
          </w:tcPr>
          <w:p w:rsidR="00B85E93" w:rsidRPr="004A422C" w:rsidRDefault="00B85E93" w:rsidP="00B85E93">
            <w:pPr>
              <w:spacing w:before="0" w:after="0"/>
              <w:jc w:val="right"/>
            </w:pPr>
            <w:r w:rsidRPr="004A422C">
              <w:t>174,7</w:t>
            </w:r>
          </w:p>
        </w:tc>
        <w:tc>
          <w:tcPr>
            <w:tcW w:w="1559" w:type="dxa"/>
            <w:vAlign w:val="center"/>
          </w:tcPr>
          <w:p w:rsidR="00B85E93" w:rsidRPr="004A422C" w:rsidRDefault="00B85E93" w:rsidP="00B85E93">
            <w:pPr>
              <w:spacing w:before="0" w:after="0"/>
              <w:jc w:val="right"/>
            </w:pPr>
            <w:r w:rsidRPr="004A422C">
              <w:t>117,8</w:t>
            </w:r>
          </w:p>
        </w:tc>
      </w:tr>
      <w:tr w:rsidR="00B85E93" w:rsidTr="0027428D">
        <w:trPr>
          <w:trHeight w:val="397"/>
        </w:trPr>
        <w:tc>
          <w:tcPr>
            <w:tcW w:w="1262" w:type="dxa"/>
            <w:vAlign w:val="center"/>
          </w:tcPr>
          <w:p w:rsidR="00B85E93" w:rsidRDefault="00B85E93" w:rsidP="00B85E93">
            <w:pPr>
              <w:spacing w:before="0" w:after="0"/>
              <w:jc w:val="left"/>
            </w:pPr>
            <w:r>
              <w:t>Březen</w:t>
            </w:r>
          </w:p>
        </w:tc>
        <w:tc>
          <w:tcPr>
            <w:tcW w:w="1540" w:type="dxa"/>
            <w:vAlign w:val="center"/>
          </w:tcPr>
          <w:p w:rsidR="00B85E93" w:rsidRDefault="00B85E93" w:rsidP="00B85E93">
            <w:pPr>
              <w:spacing w:before="0" w:after="0"/>
              <w:jc w:val="right"/>
            </w:pPr>
            <w:r>
              <w:t>432,2</w:t>
            </w:r>
          </w:p>
        </w:tc>
        <w:tc>
          <w:tcPr>
            <w:tcW w:w="2162" w:type="dxa"/>
            <w:vAlign w:val="center"/>
          </w:tcPr>
          <w:p w:rsidR="00B85E93" w:rsidRDefault="00B85E93" w:rsidP="00B85E93">
            <w:pPr>
              <w:spacing w:before="0" w:after="0"/>
              <w:jc w:val="right"/>
            </w:pPr>
            <w:r>
              <w:t>35,7</w:t>
            </w:r>
          </w:p>
        </w:tc>
        <w:tc>
          <w:tcPr>
            <w:tcW w:w="1523" w:type="dxa"/>
            <w:vAlign w:val="center"/>
          </w:tcPr>
          <w:p w:rsidR="00B85E93" w:rsidRDefault="00B85E93" w:rsidP="00B85E93">
            <w:pPr>
              <w:spacing w:before="0" w:after="0"/>
              <w:jc w:val="right"/>
            </w:pPr>
            <w:r>
              <w:t>10</w:t>
            </w:r>
          </w:p>
        </w:tc>
        <w:tc>
          <w:tcPr>
            <w:tcW w:w="1559" w:type="dxa"/>
            <w:vAlign w:val="center"/>
          </w:tcPr>
          <w:p w:rsidR="00B85E93" w:rsidRDefault="00B85E93" w:rsidP="00B85E93">
            <w:pPr>
              <w:spacing w:before="0" w:after="0"/>
              <w:jc w:val="right"/>
            </w:pPr>
            <w:r>
              <w:t>31</w:t>
            </w:r>
          </w:p>
        </w:tc>
        <w:tc>
          <w:tcPr>
            <w:tcW w:w="1985" w:type="dxa"/>
            <w:vAlign w:val="center"/>
          </w:tcPr>
          <w:p w:rsidR="00B85E93" w:rsidRPr="00614E2D" w:rsidRDefault="00B85E93" w:rsidP="00B85E93">
            <w:pPr>
              <w:spacing w:before="0" w:after="0"/>
              <w:jc w:val="right"/>
            </w:pPr>
            <w:r w:rsidRPr="00614E2D">
              <w:t>310</w:t>
            </w:r>
          </w:p>
        </w:tc>
        <w:tc>
          <w:tcPr>
            <w:tcW w:w="1559" w:type="dxa"/>
            <w:vAlign w:val="center"/>
          </w:tcPr>
          <w:p w:rsidR="00B85E93" w:rsidRPr="004A422C" w:rsidRDefault="00B85E93" w:rsidP="00B85E93">
            <w:pPr>
              <w:spacing w:before="0" w:after="0"/>
              <w:jc w:val="right"/>
            </w:pPr>
            <w:r w:rsidRPr="004A422C">
              <w:t>120,9</w:t>
            </w:r>
          </w:p>
        </w:tc>
        <w:tc>
          <w:tcPr>
            <w:tcW w:w="1559" w:type="dxa"/>
            <w:vAlign w:val="center"/>
          </w:tcPr>
          <w:p w:rsidR="00B85E93" w:rsidRPr="004A422C" w:rsidRDefault="00B85E93" w:rsidP="00B85E93">
            <w:pPr>
              <w:spacing w:before="0" w:after="0"/>
              <w:jc w:val="right"/>
            </w:pPr>
            <w:r w:rsidRPr="004A422C">
              <w:t>81,5</w:t>
            </w:r>
          </w:p>
        </w:tc>
      </w:tr>
      <w:tr w:rsidR="00B85E93" w:rsidTr="0027428D">
        <w:trPr>
          <w:trHeight w:val="397"/>
        </w:trPr>
        <w:tc>
          <w:tcPr>
            <w:tcW w:w="1262" w:type="dxa"/>
            <w:vAlign w:val="center"/>
          </w:tcPr>
          <w:p w:rsidR="00B85E93" w:rsidRDefault="00B85E93" w:rsidP="00B85E93">
            <w:pPr>
              <w:spacing w:before="0" w:after="0"/>
              <w:jc w:val="left"/>
            </w:pPr>
            <w:r>
              <w:t>Duben</w:t>
            </w:r>
          </w:p>
        </w:tc>
        <w:tc>
          <w:tcPr>
            <w:tcW w:w="1540" w:type="dxa"/>
            <w:vAlign w:val="center"/>
          </w:tcPr>
          <w:p w:rsidR="00B85E93" w:rsidRDefault="00B85E93" w:rsidP="00B85E93">
            <w:pPr>
              <w:spacing w:before="0" w:after="0"/>
              <w:jc w:val="right"/>
            </w:pPr>
            <w:r>
              <w:t>291,8</w:t>
            </w:r>
          </w:p>
        </w:tc>
        <w:tc>
          <w:tcPr>
            <w:tcW w:w="2162" w:type="dxa"/>
            <w:vAlign w:val="center"/>
          </w:tcPr>
          <w:p w:rsidR="00B85E93" w:rsidRDefault="00B85E93" w:rsidP="00B85E93">
            <w:pPr>
              <w:spacing w:before="0" w:after="0"/>
              <w:jc w:val="right"/>
            </w:pPr>
            <w:r>
              <w:t>24,9</w:t>
            </w:r>
          </w:p>
        </w:tc>
        <w:tc>
          <w:tcPr>
            <w:tcW w:w="1523" w:type="dxa"/>
            <w:vAlign w:val="center"/>
          </w:tcPr>
          <w:p w:rsidR="00B85E93" w:rsidRDefault="00B85E93" w:rsidP="00B85E93">
            <w:pPr>
              <w:spacing w:before="0" w:after="0"/>
              <w:jc w:val="right"/>
            </w:pPr>
            <w:r>
              <w:t>8</w:t>
            </w:r>
          </w:p>
        </w:tc>
        <w:tc>
          <w:tcPr>
            <w:tcW w:w="1559" w:type="dxa"/>
            <w:vAlign w:val="center"/>
          </w:tcPr>
          <w:p w:rsidR="00B85E93" w:rsidRDefault="00B85E93" w:rsidP="00B85E93">
            <w:pPr>
              <w:spacing w:before="0" w:after="0"/>
              <w:jc w:val="right"/>
            </w:pPr>
            <w:r>
              <w:t>30</w:t>
            </w:r>
          </w:p>
        </w:tc>
        <w:tc>
          <w:tcPr>
            <w:tcW w:w="1985" w:type="dxa"/>
            <w:vAlign w:val="center"/>
          </w:tcPr>
          <w:p w:rsidR="00B85E93" w:rsidRPr="00614E2D" w:rsidRDefault="00B85E93" w:rsidP="00B85E93">
            <w:pPr>
              <w:spacing w:before="0" w:after="0"/>
              <w:jc w:val="right"/>
            </w:pPr>
            <w:r w:rsidRPr="00614E2D">
              <w:t>240</w:t>
            </w:r>
          </w:p>
        </w:tc>
        <w:tc>
          <w:tcPr>
            <w:tcW w:w="1559" w:type="dxa"/>
            <w:vAlign w:val="center"/>
          </w:tcPr>
          <w:p w:rsidR="00B85E93" w:rsidRPr="004A422C" w:rsidRDefault="00B85E93" w:rsidP="00B85E93">
            <w:pPr>
              <w:spacing w:before="0" w:after="0"/>
              <w:jc w:val="right"/>
            </w:pPr>
            <w:r w:rsidRPr="004A422C">
              <w:t>93,6</w:t>
            </w:r>
          </w:p>
        </w:tc>
        <w:tc>
          <w:tcPr>
            <w:tcW w:w="1559" w:type="dxa"/>
            <w:vAlign w:val="center"/>
          </w:tcPr>
          <w:p w:rsidR="00B85E93" w:rsidRPr="004A422C" w:rsidRDefault="00B85E93" w:rsidP="00B85E93">
            <w:pPr>
              <w:spacing w:before="0" w:after="0"/>
              <w:jc w:val="right"/>
            </w:pPr>
            <w:r w:rsidRPr="004A422C">
              <w:t>63,1</w:t>
            </w:r>
          </w:p>
        </w:tc>
      </w:tr>
      <w:tr w:rsidR="00B85E93" w:rsidTr="0027428D">
        <w:trPr>
          <w:trHeight w:val="397"/>
        </w:trPr>
        <w:tc>
          <w:tcPr>
            <w:tcW w:w="1262" w:type="dxa"/>
            <w:vAlign w:val="center"/>
          </w:tcPr>
          <w:p w:rsidR="00B85E93" w:rsidRDefault="00B85E93" w:rsidP="00B85E93">
            <w:pPr>
              <w:spacing w:before="0" w:after="0"/>
              <w:jc w:val="left"/>
            </w:pPr>
            <w:r>
              <w:t>Květen</w:t>
            </w:r>
          </w:p>
        </w:tc>
        <w:tc>
          <w:tcPr>
            <w:tcW w:w="1540" w:type="dxa"/>
            <w:vAlign w:val="center"/>
          </w:tcPr>
          <w:p w:rsidR="00B85E93" w:rsidRDefault="00B85E93" w:rsidP="00B85E93">
            <w:pPr>
              <w:spacing w:before="0" w:after="0"/>
              <w:jc w:val="right"/>
            </w:pPr>
            <w:r>
              <w:t>241,8</w:t>
            </w:r>
          </w:p>
        </w:tc>
        <w:tc>
          <w:tcPr>
            <w:tcW w:w="2162" w:type="dxa"/>
            <w:vAlign w:val="center"/>
          </w:tcPr>
          <w:p w:rsidR="00B85E93" w:rsidRDefault="00B85E93" w:rsidP="00B85E93">
            <w:pPr>
              <w:spacing w:before="0" w:after="0"/>
              <w:jc w:val="right"/>
            </w:pPr>
            <w:r>
              <w:t>20,0</w:t>
            </w:r>
          </w:p>
        </w:tc>
        <w:tc>
          <w:tcPr>
            <w:tcW w:w="1523" w:type="dxa"/>
            <w:vAlign w:val="center"/>
          </w:tcPr>
          <w:p w:rsidR="00B85E93" w:rsidRDefault="00B85E93" w:rsidP="00B85E93">
            <w:pPr>
              <w:spacing w:before="0" w:after="0"/>
              <w:jc w:val="right"/>
            </w:pPr>
            <w:r>
              <w:t>4</w:t>
            </w:r>
          </w:p>
        </w:tc>
        <w:tc>
          <w:tcPr>
            <w:tcW w:w="1559" w:type="dxa"/>
            <w:vAlign w:val="center"/>
          </w:tcPr>
          <w:p w:rsidR="00B85E93" w:rsidRDefault="00B85E93" w:rsidP="00B85E93">
            <w:pPr>
              <w:spacing w:before="0" w:after="0"/>
              <w:jc w:val="right"/>
            </w:pPr>
            <w:r>
              <w:t>31</w:t>
            </w:r>
          </w:p>
        </w:tc>
        <w:tc>
          <w:tcPr>
            <w:tcW w:w="1985" w:type="dxa"/>
            <w:vAlign w:val="center"/>
          </w:tcPr>
          <w:p w:rsidR="00B85E93" w:rsidRPr="00614E2D" w:rsidRDefault="00B85E93" w:rsidP="00B85E93">
            <w:pPr>
              <w:spacing w:before="0" w:after="0"/>
              <w:jc w:val="right"/>
            </w:pPr>
            <w:r w:rsidRPr="00614E2D">
              <w:t>124</w:t>
            </w:r>
          </w:p>
        </w:tc>
        <w:tc>
          <w:tcPr>
            <w:tcW w:w="1559" w:type="dxa"/>
            <w:vAlign w:val="center"/>
          </w:tcPr>
          <w:p w:rsidR="00B85E93" w:rsidRPr="004A422C" w:rsidRDefault="00B85E93" w:rsidP="00B85E93">
            <w:pPr>
              <w:spacing w:before="0" w:after="0"/>
              <w:jc w:val="right"/>
            </w:pPr>
            <w:r w:rsidRPr="004A422C">
              <w:t>48,4</w:t>
            </w:r>
          </w:p>
        </w:tc>
        <w:tc>
          <w:tcPr>
            <w:tcW w:w="1559" w:type="dxa"/>
            <w:vAlign w:val="center"/>
          </w:tcPr>
          <w:p w:rsidR="00B85E93" w:rsidRPr="004A422C" w:rsidRDefault="00B85E93" w:rsidP="00B85E93">
            <w:pPr>
              <w:spacing w:before="0" w:after="0"/>
              <w:jc w:val="right"/>
            </w:pPr>
            <w:r w:rsidRPr="004A422C">
              <w:t>32,6</w:t>
            </w:r>
          </w:p>
        </w:tc>
      </w:tr>
      <w:tr w:rsidR="00B85E93" w:rsidTr="0027428D">
        <w:trPr>
          <w:trHeight w:val="397"/>
        </w:trPr>
        <w:tc>
          <w:tcPr>
            <w:tcW w:w="1262" w:type="dxa"/>
            <w:vAlign w:val="center"/>
          </w:tcPr>
          <w:p w:rsidR="00B85E93" w:rsidRDefault="00B85E93" w:rsidP="00B85E93">
            <w:pPr>
              <w:spacing w:before="0" w:after="0"/>
              <w:jc w:val="left"/>
            </w:pPr>
            <w:r>
              <w:t>Červen</w:t>
            </w:r>
            <w:bookmarkStart w:id="88" w:name="_Ref56438037"/>
            <w:r>
              <w:rPr>
                <w:rStyle w:val="Znakapoznpodarou"/>
              </w:rPr>
              <w:footnoteReference w:id="3"/>
            </w:r>
            <w:bookmarkEnd w:id="88"/>
          </w:p>
        </w:tc>
        <w:tc>
          <w:tcPr>
            <w:tcW w:w="1540" w:type="dxa"/>
            <w:vAlign w:val="center"/>
          </w:tcPr>
          <w:p w:rsidR="00B85E93" w:rsidRDefault="00B85E93" w:rsidP="00B85E93">
            <w:pPr>
              <w:spacing w:before="0" w:after="0"/>
              <w:jc w:val="right"/>
            </w:pPr>
            <w:r>
              <w:t>46,2</w:t>
            </w:r>
          </w:p>
        </w:tc>
        <w:tc>
          <w:tcPr>
            <w:tcW w:w="2162" w:type="dxa"/>
            <w:vAlign w:val="center"/>
          </w:tcPr>
          <w:p w:rsidR="00B85E93" w:rsidRDefault="00B85E93" w:rsidP="00B85E93">
            <w:pPr>
              <w:spacing w:before="0" w:after="0"/>
              <w:jc w:val="right"/>
            </w:pPr>
            <w:r>
              <w:t>3,9</w:t>
            </w:r>
          </w:p>
        </w:tc>
        <w:tc>
          <w:tcPr>
            <w:tcW w:w="1523" w:type="dxa"/>
            <w:vAlign w:val="center"/>
          </w:tcPr>
          <w:p w:rsidR="00B85E93" w:rsidRDefault="00B85E93" w:rsidP="00B85E93">
            <w:pPr>
              <w:spacing w:before="0" w:after="0"/>
              <w:jc w:val="right"/>
            </w:pPr>
            <w:r>
              <w:t>2</w:t>
            </w:r>
          </w:p>
        </w:tc>
        <w:tc>
          <w:tcPr>
            <w:tcW w:w="1559" w:type="dxa"/>
            <w:vAlign w:val="center"/>
          </w:tcPr>
          <w:p w:rsidR="00B85E93" w:rsidRDefault="00B85E93" w:rsidP="00B85E93">
            <w:pPr>
              <w:spacing w:before="0" w:after="0"/>
              <w:jc w:val="right"/>
            </w:pPr>
            <w:r>
              <w:t>20</w:t>
            </w:r>
          </w:p>
        </w:tc>
        <w:tc>
          <w:tcPr>
            <w:tcW w:w="1985" w:type="dxa"/>
            <w:vAlign w:val="center"/>
          </w:tcPr>
          <w:p w:rsidR="00B85E93" w:rsidRPr="00614E2D" w:rsidRDefault="00B85E93" w:rsidP="00B85E93">
            <w:pPr>
              <w:spacing w:before="0" w:after="0"/>
              <w:jc w:val="right"/>
            </w:pPr>
            <w:r w:rsidRPr="00614E2D">
              <w:t>40</w:t>
            </w:r>
          </w:p>
        </w:tc>
        <w:tc>
          <w:tcPr>
            <w:tcW w:w="1559" w:type="dxa"/>
            <w:vAlign w:val="center"/>
          </w:tcPr>
          <w:p w:rsidR="00B85E93" w:rsidRPr="004A422C" w:rsidRDefault="00B85E93" w:rsidP="00B85E93">
            <w:pPr>
              <w:spacing w:before="0" w:after="0"/>
              <w:jc w:val="right"/>
            </w:pPr>
            <w:r w:rsidRPr="004A422C">
              <w:t>15,6</w:t>
            </w:r>
          </w:p>
        </w:tc>
        <w:tc>
          <w:tcPr>
            <w:tcW w:w="1559" w:type="dxa"/>
            <w:vAlign w:val="center"/>
          </w:tcPr>
          <w:p w:rsidR="00B85E93" w:rsidRPr="004A422C" w:rsidRDefault="00B85E93" w:rsidP="00B85E93">
            <w:pPr>
              <w:spacing w:before="0" w:after="0"/>
              <w:jc w:val="right"/>
            </w:pPr>
            <w:r w:rsidRPr="004A422C">
              <w:t>10,5</w:t>
            </w:r>
          </w:p>
        </w:tc>
      </w:tr>
      <w:tr w:rsidR="00B85E93" w:rsidTr="0027428D">
        <w:trPr>
          <w:trHeight w:val="397"/>
        </w:trPr>
        <w:tc>
          <w:tcPr>
            <w:tcW w:w="1262" w:type="dxa"/>
            <w:vAlign w:val="center"/>
          </w:tcPr>
          <w:p w:rsidR="00B85E93" w:rsidRDefault="00B85E93" w:rsidP="00B85E93">
            <w:pPr>
              <w:spacing w:before="0" w:after="0"/>
              <w:jc w:val="left"/>
            </w:pPr>
            <w:r>
              <w:t>Červenec</w:t>
            </w:r>
            <w:r w:rsidRPr="00B85E93">
              <w:rPr>
                <w:vertAlign w:val="superscript"/>
              </w:rPr>
              <w:fldChar w:fldCharType="begin"/>
            </w:r>
            <w:r w:rsidRPr="00B85E93">
              <w:rPr>
                <w:vertAlign w:val="superscript"/>
              </w:rPr>
              <w:instrText xml:space="preserve"> NOTEREF _Ref56438037 \h  \* MERGEFORMAT </w:instrText>
            </w:r>
            <w:r w:rsidRPr="00B85E93">
              <w:rPr>
                <w:vertAlign w:val="superscript"/>
              </w:rPr>
            </w:r>
            <w:r w:rsidRPr="00B85E93">
              <w:rPr>
                <w:vertAlign w:val="superscript"/>
              </w:rPr>
              <w:fldChar w:fldCharType="separate"/>
            </w:r>
            <w:r w:rsidR="00816426">
              <w:rPr>
                <w:vertAlign w:val="superscript"/>
              </w:rPr>
              <w:t>3</w:t>
            </w:r>
            <w:r w:rsidRPr="00B85E93">
              <w:rPr>
                <w:vertAlign w:val="superscript"/>
              </w:rPr>
              <w:fldChar w:fldCharType="end"/>
            </w:r>
          </w:p>
        </w:tc>
        <w:tc>
          <w:tcPr>
            <w:tcW w:w="1540" w:type="dxa"/>
            <w:vAlign w:val="center"/>
          </w:tcPr>
          <w:p w:rsidR="00B85E93" w:rsidRDefault="00B85E93" w:rsidP="00B85E93">
            <w:pPr>
              <w:spacing w:before="0" w:after="0"/>
              <w:jc w:val="right"/>
            </w:pPr>
            <w:r>
              <w:t>39,1</w:t>
            </w:r>
          </w:p>
        </w:tc>
        <w:tc>
          <w:tcPr>
            <w:tcW w:w="2162" w:type="dxa"/>
            <w:vAlign w:val="center"/>
          </w:tcPr>
          <w:p w:rsidR="00B85E93" w:rsidRDefault="00B85E93" w:rsidP="00B85E93">
            <w:pPr>
              <w:spacing w:before="0" w:after="0"/>
              <w:jc w:val="right"/>
            </w:pPr>
            <w:r>
              <w:t>3,2</w:t>
            </w:r>
          </w:p>
        </w:tc>
        <w:tc>
          <w:tcPr>
            <w:tcW w:w="1523" w:type="dxa"/>
            <w:vAlign w:val="center"/>
          </w:tcPr>
          <w:p w:rsidR="00B85E93" w:rsidRDefault="00B85E93" w:rsidP="00B85E93">
            <w:pPr>
              <w:spacing w:before="0" w:after="0"/>
              <w:jc w:val="right"/>
            </w:pPr>
            <w:r>
              <w:t>2</w:t>
            </w:r>
          </w:p>
        </w:tc>
        <w:tc>
          <w:tcPr>
            <w:tcW w:w="1559" w:type="dxa"/>
            <w:vAlign w:val="center"/>
          </w:tcPr>
          <w:p w:rsidR="00B85E93" w:rsidRDefault="00B85E93" w:rsidP="00B85E93">
            <w:pPr>
              <w:spacing w:before="0" w:after="0"/>
              <w:jc w:val="right"/>
            </w:pPr>
            <w:r>
              <w:t>20</w:t>
            </w:r>
          </w:p>
        </w:tc>
        <w:tc>
          <w:tcPr>
            <w:tcW w:w="1985" w:type="dxa"/>
            <w:vAlign w:val="center"/>
          </w:tcPr>
          <w:p w:rsidR="00B85E93" w:rsidRPr="00614E2D" w:rsidRDefault="00B85E93" w:rsidP="00B85E93">
            <w:pPr>
              <w:spacing w:before="0" w:after="0"/>
              <w:jc w:val="right"/>
            </w:pPr>
            <w:r w:rsidRPr="00614E2D">
              <w:t>40</w:t>
            </w:r>
          </w:p>
        </w:tc>
        <w:tc>
          <w:tcPr>
            <w:tcW w:w="1559" w:type="dxa"/>
            <w:vAlign w:val="center"/>
          </w:tcPr>
          <w:p w:rsidR="00B85E93" w:rsidRPr="004A422C" w:rsidRDefault="00B85E93" w:rsidP="00B85E93">
            <w:pPr>
              <w:spacing w:before="0" w:after="0"/>
              <w:jc w:val="right"/>
            </w:pPr>
            <w:r w:rsidRPr="004A422C">
              <w:t>15,6</w:t>
            </w:r>
          </w:p>
        </w:tc>
        <w:tc>
          <w:tcPr>
            <w:tcW w:w="1559" w:type="dxa"/>
            <w:vAlign w:val="center"/>
          </w:tcPr>
          <w:p w:rsidR="00B85E93" w:rsidRPr="004A422C" w:rsidRDefault="00B85E93" w:rsidP="00B85E93">
            <w:pPr>
              <w:spacing w:before="0" w:after="0"/>
              <w:jc w:val="right"/>
            </w:pPr>
            <w:r w:rsidRPr="004A422C">
              <w:t>10,5</w:t>
            </w:r>
          </w:p>
        </w:tc>
      </w:tr>
      <w:tr w:rsidR="00B85E93" w:rsidTr="0027428D">
        <w:trPr>
          <w:trHeight w:val="397"/>
        </w:trPr>
        <w:tc>
          <w:tcPr>
            <w:tcW w:w="1262" w:type="dxa"/>
            <w:vAlign w:val="center"/>
          </w:tcPr>
          <w:p w:rsidR="00B85E93" w:rsidRDefault="00B85E93" w:rsidP="00B85E93">
            <w:pPr>
              <w:spacing w:before="0" w:after="0"/>
              <w:jc w:val="left"/>
            </w:pPr>
            <w:r>
              <w:t>Srpen</w:t>
            </w:r>
            <w:r w:rsidRPr="00B85E93">
              <w:rPr>
                <w:vertAlign w:val="superscript"/>
              </w:rPr>
              <w:fldChar w:fldCharType="begin"/>
            </w:r>
            <w:r w:rsidRPr="00B85E93">
              <w:rPr>
                <w:vertAlign w:val="superscript"/>
              </w:rPr>
              <w:instrText xml:space="preserve"> NOTEREF _Ref56438037 \h </w:instrText>
            </w:r>
            <w:r>
              <w:rPr>
                <w:vertAlign w:val="superscript"/>
              </w:rPr>
              <w:instrText xml:space="preserve"> \* MERGEFORMAT </w:instrText>
            </w:r>
            <w:r w:rsidRPr="00B85E93">
              <w:rPr>
                <w:vertAlign w:val="superscript"/>
              </w:rPr>
            </w:r>
            <w:r w:rsidRPr="00B85E93">
              <w:rPr>
                <w:vertAlign w:val="superscript"/>
              </w:rPr>
              <w:fldChar w:fldCharType="separate"/>
            </w:r>
            <w:r w:rsidR="00816426">
              <w:rPr>
                <w:vertAlign w:val="superscript"/>
              </w:rPr>
              <w:t>3</w:t>
            </w:r>
            <w:r w:rsidRPr="00B85E93">
              <w:rPr>
                <w:vertAlign w:val="superscript"/>
              </w:rPr>
              <w:fldChar w:fldCharType="end"/>
            </w:r>
          </w:p>
        </w:tc>
        <w:tc>
          <w:tcPr>
            <w:tcW w:w="1540" w:type="dxa"/>
            <w:vAlign w:val="center"/>
          </w:tcPr>
          <w:p w:rsidR="00B85E93" w:rsidRDefault="00B85E93" w:rsidP="00B85E93">
            <w:pPr>
              <w:spacing w:before="0" w:after="0"/>
              <w:jc w:val="right"/>
            </w:pPr>
            <w:r>
              <w:t>37,6</w:t>
            </w:r>
          </w:p>
        </w:tc>
        <w:tc>
          <w:tcPr>
            <w:tcW w:w="2162" w:type="dxa"/>
            <w:vAlign w:val="center"/>
          </w:tcPr>
          <w:p w:rsidR="00B85E93" w:rsidRDefault="00B85E93" w:rsidP="00B85E93">
            <w:pPr>
              <w:spacing w:before="0" w:after="0"/>
              <w:jc w:val="right"/>
            </w:pPr>
            <w:r>
              <w:t>3,1</w:t>
            </w:r>
          </w:p>
        </w:tc>
        <w:tc>
          <w:tcPr>
            <w:tcW w:w="1523" w:type="dxa"/>
            <w:vAlign w:val="center"/>
          </w:tcPr>
          <w:p w:rsidR="00B85E93" w:rsidRDefault="00B85E93" w:rsidP="00B85E93">
            <w:pPr>
              <w:spacing w:before="0" w:after="0"/>
              <w:jc w:val="right"/>
            </w:pPr>
            <w:r>
              <w:t>2</w:t>
            </w:r>
          </w:p>
        </w:tc>
        <w:tc>
          <w:tcPr>
            <w:tcW w:w="1559" w:type="dxa"/>
            <w:vAlign w:val="center"/>
          </w:tcPr>
          <w:p w:rsidR="00B85E93" w:rsidRDefault="00B85E93" w:rsidP="00B85E93">
            <w:pPr>
              <w:spacing w:before="0" w:after="0"/>
              <w:jc w:val="right"/>
            </w:pPr>
            <w:r>
              <w:t>20</w:t>
            </w:r>
          </w:p>
        </w:tc>
        <w:tc>
          <w:tcPr>
            <w:tcW w:w="1985" w:type="dxa"/>
            <w:vAlign w:val="center"/>
          </w:tcPr>
          <w:p w:rsidR="00B85E93" w:rsidRPr="00614E2D" w:rsidRDefault="00B85E93" w:rsidP="00B85E93">
            <w:pPr>
              <w:spacing w:before="0" w:after="0"/>
              <w:jc w:val="right"/>
            </w:pPr>
            <w:r w:rsidRPr="00614E2D">
              <w:t>40</w:t>
            </w:r>
          </w:p>
        </w:tc>
        <w:tc>
          <w:tcPr>
            <w:tcW w:w="1559" w:type="dxa"/>
            <w:vAlign w:val="center"/>
          </w:tcPr>
          <w:p w:rsidR="00B85E93" w:rsidRPr="004A422C" w:rsidRDefault="00B85E93" w:rsidP="00B85E93">
            <w:pPr>
              <w:spacing w:before="0" w:after="0"/>
              <w:jc w:val="right"/>
            </w:pPr>
            <w:r w:rsidRPr="004A422C">
              <w:t>15,6</w:t>
            </w:r>
          </w:p>
        </w:tc>
        <w:tc>
          <w:tcPr>
            <w:tcW w:w="1559" w:type="dxa"/>
            <w:vAlign w:val="center"/>
          </w:tcPr>
          <w:p w:rsidR="00B85E93" w:rsidRPr="004A422C" w:rsidRDefault="00B85E93" w:rsidP="00B85E93">
            <w:pPr>
              <w:spacing w:before="0" w:after="0"/>
              <w:jc w:val="right"/>
            </w:pPr>
            <w:r w:rsidRPr="004A422C">
              <w:t>10,5</w:t>
            </w:r>
          </w:p>
        </w:tc>
      </w:tr>
      <w:tr w:rsidR="00B85E93" w:rsidTr="0027428D">
        <w:trPr>
          <w:trHeight w:val="397"/>
        </w:trPr>
        <w:tc>
          <w:tcPr>
            <w:tcW w:w="1262" w:type="dxa"/>
            <w:vAlign w:val="center"/>
          </w:tcPr>
          <w:p w:rsidR="00B85E93" w:rsidRDefault="00B85E93" w:rsidP="00B85E93">
            <w:pPr>
              <w:spacing w:before="0" w:after="0"/>
              <w:jc w:val="left"/>
            </w:pPr>
            <w:r>
              <w:t>Září</w:t>
            </w:r>
            <w:r w:rsidRPr="00B85E93">
              <w:rPr>
                <w:vertAlign w:val="superscript"/>
              </w:rPr>
              <w:fldChar w:fldCharType="begin"/>
            </w:r>
            <w:r w:rsidRPr="00B85E93">
              <w:rPr>
                <w:vertAlign w:val="superscript"/>
              </w:rPr>
              <w:instrText xml:space="preserve"> NOTEREF _Ref56438037 \h </w:instrText>
            </w:r>
            <w:r>
              <w:rPr>
                <w:vertAlign w:val="superscript"/>
              </w:rPr>
              <w:instrText xml:space="preserve"> \* MERGEFORMAT </w:instrText>
            </w:r>
            <w:r w:rsidRPr="00B85E93">
              <w:rPr>
                <w:vertAlign w:val="superscript"/>
              </w:rPr>
            </w:r>
            <w:r w:rsidRPr="00B85E93">
              <w:rPr>
                <w:vertAlign w:val="superscript"/>
              </w:rPr>
              <w:fldChar w:fldCharType="separate"/>
            </w:r>
            <w:r w:rsidR="00816426">
              <w:rPr>
                <w:vertAlign w:val="superscript"/>
              </w:rPr>
              <w:t>3</w:t>
            </w:r>
            <w:r w:rsidRPr="00B85E93">
              <w:rPr>
                <w:vertAlign w:val="superscript"/>
              </w:rPr>
              <w:fldChar w:fldCharType="end"/>
            </w:r>
          </w:p>
        </w:tc>
        <w:tc>
          <w:tcPr>
            <w:tcW w:w="1540" w:type="dxa"/>
            <w:vAlign w:val="center"/>
          </w:tcPr>
          <w:p w:rsidR="00B85E93" w:rsidRDefault="00B85E93" w:rsidP="00B85E93">
            <w:pPr>
              <w:spacing w:before="0" w:after="0"/>
              <w:jc w:val="right"/>
            </w:pPr>
            <w:r>
              <w:t>42,3</w:t>
            </w:r>
          </w:p>
        </w:tc>
        <w:tc>
          <w:tcPr>
            <w:tcW w:w="2162" w:type="dxa"/>
            <w:vAlign w:val="center"/>
          </w:tcPr>
          <w:p w:rsidR="00B85E93" w:rsidRDefault="00B85E93" w:rsidP="00B85E93">
            <w:pPr>
              <w:spacing w:before="0" w:after="0"/>
              <w:jc w:val="right"/>
            </w:pPr>
            <w:r>
              <w:t>3,6</w:t>
            </w:r>
          </w:p>
        </w:tc>
        <w:tc>
          <w:tcPr>
            <w:tcW w:w="1523" w:type="dxa"/>
            <w:vAlign w:val="center"/>
          </w:tcPr>
          <w:p w:rsidR="00B85E93" w:rsidRDefault="00B85E93" w:rsidP="00B85E93">
            <w:pPr>
              <w:spacing w:before="0" w:after="0"/>
              <w:jc w:val="right"/>
            </w:pPr>
            <w:r>
              <w:t>2</w:t>
            </w:r>
          </w:p>
        </w:tc>
        <w:tc>
          <w:tcPr>
            <w:tcW w:w="1559" w:type="dxa"/>
            <w:vAlign w:val="center"/>
          </w:tcPr>
          <w:p w:rsidR="00B85E93" w:rsidRDefault="00B85E93" w:rsidP="00B85E93">
            <w:pPr>
              <w:spacing w:before="0" w:after="0"/>
              <w:jc w:val="right"/>
            </w:pPr>
            <w:r>
              <w:t>20</w:t>
            </w:r>
          </w:p>
        </w:tc>
        <w:tc>
          <w:tcPr>
            <w:tcW w:w="1985" w:type="dxa"/>
            <w:vAlign w:val="center"/>
          </w:tcPr>
          <w:p w:rsidR="00B85E93" w:rsidRPr="00614E2D" w:rsidRDefault="00B85E93" w:rsidP="00B85E93">
            <w:pPr>
              <w:spacing w:before="0" w:after="0"/>
              <w:jc w:val="right"/>
            </w:pPr>
            <w:r w:rsidRPr="00614E2D">
              <w:t>40</w:t>
            </w:r>
          </w:p>
        </w:tc>
        <w:tc>
          <w:tcPr>
            <w:tcW w:w="1559" w:type="dxa"/>
            <w:vAlign w:val="center"/>
          </w:tcPr>
          <w:p w:rsidR="00B85E93" w:rsidRPr="004A422C" w:rsidRDefault="00B85E93" w:rsidP="00B85E93">
            <w:pPr>
              <w:spacing w:before="0" w:after="0"/>
              <w:jc w:val="right"/>
            </w:pPr>
            <w:r w:rsidRPr="004A422C">
              <w:t>15,6</w:t>
            </w:r>
          </w:p>
        </w:tc>
        <w:tc>
          <w:tcPr>
            <w:tcW w:w="1559" w:type="dxa"/>
            <w:vAlign w:val="center"/>
          </w:tcPr>
          <w:p w:rsidR="00B85E93" w:rsidRPr="004A422C" w:rsidRDefault="00B85E93" w:rsidP="00B85E93">
            <w:pPr>
              <w:spacing w:before="0" w:after="0"/>
              <w:jc w:val="right"/>
            </w:pPr>
            <w:r w:rsidRPr="004A422C">
              <w:t>10,5</w:t>
            </w:r>
          </w:p>
        </w:tc>
      </w:tr>
      <w:tr w:rsidR="00B85E93" w:rsidTr="0027428D">
        <w:trPr>
          <w:trHeight w:val="397"/>
        </w:trPr>
        <w:tc>
          <w:tcPr>
            <w:tcW w:w="1262" w:type="dxa"/>
            <w:vAlign w:val="center"/>
          </w:tcPr>
          <w:p w:rsidR="00B85E93" w:rsidRDefault="00B85E93" w:rsidP="00B85E93">
            <w:pPr>
              <w:spacing w:before="0" w:after="0"/>
              <w:jc w:val="left"/>
            </w:pPr>
            <w:r>
              <w:t>Říjen</w:t>
            </w:r>
          </w:p>
        </w:tc>
        <w:tc>
          <w:tcPr>
            <w:tcW w:w="1540" w:type="dxa"/>
            <w:vAlign w:val="center"/>
          </w:tcPr>
          <w:p w:rsidR="00B85E93" w:rsidRDefault="00B85E93" w:rsidP="00B85E93">
            <w:pPr>
              <w:spacing w:before="0" w:after="0"/>
              <w:jc w:val="right"/>
            </w:pPr>
            <w:r>
              <w:t>297,6</w:t>
            </w:r>
          </w:p>
        </w:tc>
        <w:tc>
          <w:tcPr>
            <w:tcW w:w="2162" w:type="dxa"/>
            <w:vAlign w:val="center"/>
          </w:tcPr>
          <w:p w:rsidR="00B85E93" w:rsidRDefault="00B85E93" w:rsidP="00B85E93">
            <w:pPr>
              <w:spacing w:before="0" w:after="0"/>
              <w:jc w:val="right"/>
            </w:pPr>
            <w:r>
              <w:t>24,6</w:t>
            </w:r>
          </w:p>
        </w:tc>
        <w:tc>
          <w:tcPr>
            <w:tcW w:w="1523" w:type="dxa"/>
            <w:vAlign w:val="center"/>
          </w:tcPr>
          <w:p w:rsidR="00B85E93" w:rsidRDefault="00B85E93" w:rsidP="00B85E93">
            <w:pPr>
              <w:spacing w:before="0" w:after="0"/>
              <w:jc w:val="right"/>
            </w:pPr>
            <w:r>
              <w:t>8</w:t>
            </w:r>
          </w:p>
        </w:tc>
        <w:tc>
          <w:tcPr>
            <w:tcW w:w="1559" w:type="dxa"/>
            <w:vAlign w:val="center"/>
          </w:tcPr>
          <w:p w:rsidR="00B85E93" w:rsidRDefault="00B85E93" w:rsidP="00B85E93">
            <w:pPr>
              <w:spacing w:before="0" w:after="0"/>
              <w:jc w:val="right"/>
            </w:pPr>
            <w:r>
              <w:t>31</w:t>
            </w:r>
          </w:p>
        </w:tc>
        <w:tc>
          <w:tcPr>
            <w:tcW w:w="1985" w:type="dxa"/>
            <w:vAlign w:val="center"/>
          </w:tcPr>
          <w:p w:rsidR="00B85E93" w:rsidRPr="00614E2D" w:rsidRDefault="00B85E93" w:rsidP="00B85E93">
            <w:pPr>
              <w:spacing w:before="0" w:after="0"/>
              <w:jc w:val="right"/>
            </w:pPr>
            <w:r w:rsidRPr="00614E2D">
              <w:t>248</w:t>
            </w:r>
          </w:p>
        </w:tc>
        <w:tc>
          <w:tcPr>
            <w:tcW w:w="1559" w:type="dxa"/>
            <w:vAlign w:val="center"/>
          </w:tcPr>
          <w:p w:rsidR="00B85E93" w:rsidRPr="004A422C" w:rsidRDefault="00B85E93" w:rsidP="00B85E93">
            <w:pPr>
              <w:spacing w:before="0" w:after="0"/>
              <w:jc w:val="right"/>
            </w:pPr>
            <w:r w:rsidRPr="004A422C">
              <w:t>96,7</w:t>
            </w:r>
          </w:p>
        </w:tc>
        <w:tc>
          <w:tcPr>
            <w:tcW w:w="1559" w:type="dxa"/>
            <w:vAlign w:val="center"/>
          </w:tcPr>
          <w:p w:rsidR="00B85E93" w:rsidRPr="004A422C" w:rsidRDefault="00B85E93" w:rsidP="00B85E93">
            <w:pPr>
              <w:spacing w:before="0" w:after="0"/>
              <w:jc w:val="right"/>
            </w:pPr>
            <w:r w:rsidRPr="004A422C">
              <w:t>65,2</w:t>
            </w:r>
          </w:p>
        </w:tc>
      </w:tr>
      <w:tr w:rsidR="00B85E93" w:rsidTr="0027428D">
        <w:trPr>
          <w:trHeight w:val="397"/>
        </w:trPr>
        <w:tc>
          <w:tcPr>
            <w:tcW w:w="1262" w:type="dxa"/>
            <w:vAlign w:val="center"/>
          </w:tcPr>
          <w:p w:rsidR="00B85E93" w:rsidRDefault="00B85E93" w:rsidP="00B85E93">
            <w:pPr>
              <w:spacing w:before="0" w:after="0"/>
              <w:jc w:val="left"/>
            </w:pPr>
            <w:r>
              <w:t>Listopad</w:t>
            </w:r>
          </w:p>
        </w:tc>
        <w:tc>
          <w:tcPr>
            <w:tcW w:w="1540" w:type="dxa"/>
            <w:vAlign w:val="center"/>
          </w:tcPr>
          <w:p w:rsidR="00B85E93" w:rsidRDefault="00B85E93" w:rsidP="00B85E93">
            <w:pPr>
              <w:spacing w:before="0" w:after="0"/>
              <w:jc w:val="right"/>
            </w:pPr>
            <w:r>
              <w:t>428,9</w:t>
            </w:r>
          </w:p>
        </w:tc>
        <w:tc>
          <w:tcPr>
            <w:tcW w:w="2162" w:type="dxa"/>
            <w:vAlign w:val="center"/>
          </w:tcPr>
          <w:p w:rsidR="00B85E93" w:rsidRDefault="00B85E93" w:rsidP="00B85E93">
            <w:pPr>
              <w:spacing w:before="0" w:after="0"/>
              <w:jc w:val="right"/>
            </w:pPr>
            <w:r>
              <w:t>36,7</w:t>
            </w:r>
          </w:p>
        </w:tc>
        <w:tc>
          <w:tcPr>
            <w:tcW w:w="1523" w:type="dxa"/>
            <w:vAlign w:val="center"/>
          </w:tcPr>
          <w:p w:rsidR="00B85E93" w:rsidRDefault="00B85E93" w:rsidP="00B85E93">
            <w:pPr>
              <w:spacing w:before="0" w:after="0"/>
              <w:jc w:val="right"/>
            </w:pPr>
            <w:r>
              <w:t>12</w:t>
            </w:r>
          </w:p>
        </w:tc>
        <w:tc>
          <w:tcPr>
            <w:tcW w:w="1559" w:type="dxa"/>
            <w:vAlign w:val="center"/>
          </w:tcPr>
          <w:p w:rsidR="00B85E93" w:rsidRDefault="00B85E93" w:rsidP="00B85E93">
            <w:pPr>
              <w:spacing w:before="0" w:after="0"/>
              <w:jc w:val="right"/>
            </w:pPr>
            <w:r>
              <w:t>30</w:t>
            </w:r>
          </w:p>
        </w:tc>
        <w:tc>
          <w:tcPr>
            <w:tcW w:w="1985" w:type="dxa"/>
            <w:vAlign w:val="center"/>
          </w:tcPr>
          <w:p w:rsidR="00B85E93" w:rsidRPr="00614E2D" w:rsidRDefault="00B85E93" w:rsidP="00B85E93">
            <w:pPr>
              <w:spacing w:before="0" w:after="0"/>
              <w:jc w:val="right"/>
            </w:pPr>
            <w:r w:rsidRPr="00614E2D">
              <w:t>360</w:t>
            </w:r>
          </w:p>
        </w:tc>
        <w:tc>
          <w:tcPr>
            <w:tcW w:w="1559" w:type="dxa"/>
            <w:vAlign w:val="center"/>
          </w:tcPr>
          <w:p w:rsidR="00B85E93" w:rsidRPr="004A422C" w:rsidRDefault="00B85E93" w:rsidP="00B85E93">
            <w:pPr>
              <w:spacing w:before="0" w:after="0"/>
              <w:jc w:val="right"/>
            </w:pPr>
            <w:r w:rsidRPr="004A422C">
              <w:t>140,4</w:t>
            </w:r>
          </w:p>
        </w:tc>
        <w:tc>
          <w:tcPr>
            <w:tcW w:w="1559" w:type="dxa"/>
            <w:vAlign w:val="center"/>
          </w:tcPr>
          <w:p w:rsidR="00B85E93" w:rsidRPr="004A422C" w:rsidRDefault="00B85E93" w:rsidP="00B85E93">
            <w:pPr>
              <w:spacing w:before="0" w:after="0"/>
              <w:jc w:val="right"/>
            </w:pPr>
            <w:r w:rsidRPr="004A422C">
              <w:t>94,7</w:t>
            </w:r>
          </w:p>
        </w:tc>
      </w:tr>
      <w:tr w:rsidR="00B85E93" w:rsidTr="0027428D">
        <w:trPr>
          <w:trHeight w:val="397"/>
        </w:trPr>
        <w:tc>
          <w:tcPr>
            <w:tcW w:w="1262" w:type="dxa"/>
            <w:vAlign w:val="center"/>
          </w:tcPr>
          <w:p w:rsidR="00B85E93" w:rsidRDefault="00B85E93" w:rsidP="00B85E93">
            <w:pPr>
              <w:spacing w:before="0" w:after="0"/>
              <w:jc w:val="left"/>
            </w:pPr>
            <w:r>
              <w:t>Prosinec</w:t>
            </w:r>
          </w:p>
        </w:tc>
        <w:tc>
          <w:tcPr>
            <w:tcW w:w="1540" w:type="dxa"/>
            <w:vAlign w:val="center"/>
          </w:tcPr>
          <w:p w:rsidR="00B85E93" w:rsidRDefault="00B85E93" w:rsidP="00B85E93">
            <w:pPr>
              <w:spacing w:before="0" w:after="0"/>
              <w:jc w:val="right"/>
            </w:pPr>
            <w:r>
              <w:t>545,0</w:t>
            </w:r>
          </w:p>
        </w:tc>
        <w:tc>
          <w:tcPr>
            <w:tcW w:w="2162" w:type="dxa"/>
            <w:vAlign w:val="center"/>
          </w:tcPr>
          <w:p w:rsidR="00B85E93" w:rsidRDefault="00B85E93" w:rsidP="00B85E93">
            <w:pPr>
              <w:spacing w:before="0" w:after="0"/>
              <w:jc w:val="right"/>
            </w:pPr>
            <w:r>
              <w:t>45,1</w:t>
            </w:r>
          </w:p>
        </w:tc>
        <w:tc>
          <w:tcPr>
            <w:tcW w:w="1523" w:type="dxa"/>
            <w:vAlign w:val="center"/>
          </w:tcPr>
          <w:p w:rsidR="00B85E93" w:rsidRDefault="00B85E93" w:rsidP="00B85E93">
            <w:pPr>
              <w:spacing w:before="0" w:after="0"/>
              <w:jc w:val="right"/>
            </w:pPr>
            <w:r>
              <w:t>15,75</w:t>
            </w:r>
          </w:p>
        </w:tc>
        <w:tc>
          <w:tcPr>
            <w:tcW w:w="1559" w:type="dxa"/>
            <w:vAlign w:val="center"/>
          </w:tcPr>
          <w:p w:rsidR="00B85E93" w:rsidRDefault="00B85E93" w:rsidP="00B85E93">
            <w:pPr>
              <w:spacing w:before="0" w:after="0"/>
              <w:jc w:val="right"/>
            </w:pPr>
            <w:r>
              <w:t>31</w:t>
            </w:r>
          </w:p>
        </w:tc>
        <w:tc>
          <w:tcPr>
            <w:tcW w:w="1985" w:type="dxa"/>
            <w:vAlign w:val="center"/>
          </w:tcPr>
          <w:p w:rsidR="00B85E93" w:rsidRPr="00614E2D" w:rsidRDefault="00B85E93" w:rsidP="00B85E93">
            <w:pPr>
              <w:spacing w:before="0" w:after="0"/>
              <w:jc w:val="right"/>
            </w:pPr>
            <w:r w:rsidRPr="00614E2D">
              <w:t>488,25</w:t>
            </w:r>
          </w:p>
        </w:tc>
        <w:tc>
          <w:tcPr>
            <w:tcW w:w="1559" w:type="dxa"/>
            <w:vAlign w:val="center"/>
          </w:tcPr>
          <w:p w:rsidR="00B85E93" w:rsidRPr="004A422C" w:rsidRDefault="00B85E93" w:rsidP="00B85E93">
            <w:pPr>
              <w:spacing w:before="0" w:after="0"/>
              <w:jc w:val="right"/>
            </w:pPr>
            <w:r w:rsidRPr="004A422C">
              <w:t>190,4</w:t>
            </w:r>
          </w:p>
        </w:tc>
        <w:tc>
          <w:tcPr>
            <w:tcW w:w="1559" w:type="dxa"/>
            <w:vAlign w:val="center"/>
          </w:tcPr>
          <w:p w:rsidR="00B85E93" w:rsidRPr="004A422C" w:rsidRDefault="00B85E93" w:rsidP="00B85E93">
            <w:pPr>
              <w:spacing w:before="0" w:after="0"/>
              <w:jc w:val="right"/>
            </w:pPr>
            <w:r w:rsidRPr="004A422C">
              <w:t>128,4</w:t>
            </w:r>
          </w:p>
        </w:tc>
      </w:tr>
      <w:tr w:rsidR="00B85E93" w:rsidTr="0027428D">
        <w:trPr>
          <w:trHeight w:val="397"/>
        </w:trPr>
        <w:tc>
          <w:tcPr>
            <w:tcW w:w="1262" w:type="dxa"/>
            <w:vAlign w:val="center"/>
          </w:tcPr>
          <w:p w:rsidR="00B85E93" w:rsidRPr="00D001AF" w:rsidRDefault="00B85E93" w:rsidP="00B85E93">
            <w:pPr>
              <w:spacing w:before="0" w:after="0"/>
              <w:jc w:val="left"/>
              <w:rPr>
                <w:b/>
              </w:rPr>
            </w:pPr>
            <w:r w:rsidRPr="00D001AF">
              <w:rPr>
                <w:b/>
              </w:rPr>
              <w:t>Celkem</w:t>
            </w:r>
          </w:p>
        </w:tc>
        <w:tc>
          <w:tcPr>
            <w:tcW w:w="1540" w:type="dxa"/>
            <w:vAlign w:val="center"/>
          </w:tcPr>
          <w:p w:rsidR="00B85E93" w:rsidRPr="00D001AF" w:rsidRDefault="00B85E93" w:rsidP="00B85E93">
            <w:pPr>
              <w:spacing w:before="0" w:after="0"/>
              <w:jc w:val="right"/>
              <w:rPr>
                <w:b/>
              </w:rPr>
            </w:pPr>
            <w:r w:rsidRPr="00D001AF">
              <w:rPr>
                <w:b/>
              </w:rPr>
              <w:t>3</w:t>
            </w:r>
            <w:r w:rsidR="009D0440">
              <w:rPr>
                <w:b/>
              </w:rPr>
              <w:t> </w:t>
            </w:r>
            <w:r w:rsidRPr="00D001AF">
              <w:rPr>
                <w:b/>
              </w:rPr>
              <w:t>704,5</w:t>
            </w:r>
          </w:p>
        </w:tc>
        <w:tc>
          <w:tcPr>
            <w:tcW w:w="2162" w:type="dxa"/>
            <w:vAlign w:val="center"/>
          </w:tcPr>
          <w:p w:rsidR="00B85E93" w:rsidRPr="00D001AF" w:rsidRDefault="00B85E93" w:rsidP="00B85E93">
            <w:pPr>
              <w:spacing w:before="0" w:after="0"/>
              <w:jc w:val="right"/>
              <w:rPr>
                <w:b/>
              </w:rPr>
            </w:pPr>
            <w:r w:rsidRPr="00D001AF">
              <w:rPr>
                <w:b/>
              </w:rPr>
              <w:t>–</w:t>
            </w:r>
          </w:p>
        </w:tc>
        <w:tc>
          <w:tcPr>
            <w:tcW w:w="1523" w:type="dxa"/>
            <w:vAlign w:val="center"/>
          </w:tcPr>
          <w:p w:rsidR="00B85E93" w:rsidRPr="00D001AF" w:rsidRDefault="00B85E93" w:rsidP="00B85E93">
            <w:pPr>
              <w:spacing w:before="0" w:after="0"/>
              <w:jc w:val="right"/>
              <w:rPr>
                <w:b/>
              </w:rPr>
            </w:pPr>
            <w:r w:rsidRPr="00D001AF">
              <w:rPr>
                <w:b/>
              </w:rPr>
              <w:t>–</w:t>
            </w:r>
          </w:p>
        </w:tc>
        <w:tc>
          <w:tcPr>
            <w:tcW w:w="1559" w:type="dxa"/>
            <w:vAlign w:val="center"/>
          </w:tcPr>
          <w:p w:rsidR="00B85E93" w:rsidRPr="00D001AF" w:rsidRDefault="00B85E93" w:rsidP="00B85E93">
            <w:pPr>
              <w:spacing w:before="0" w:after="0"/>
              <w:jc w:val="right"/>
              <w:rPr>
                <w:b/>
              </w:rPr>
            </w:pPr>
            <w:r w:rsidRPr="00D001AF">
              <w:rPr>
                <w:b/>
              </w:rPr>
              <w:t>–</w:t>
            </w:r>
          </w:p>
        </w:tc>
        <w:tc>
          <w:tcPr>
            <w:tcW w:w="1985" w:type="dxa"/>
            <w:vAlign w:val="center"/>
          </w:tcPr>
          <w:p w:rsidR="00B85E93" w:rsidRPr="00D001AF" w:rsidRDefault="00B85E93" w:rsidP="00B85E93">
            <w:pPr>
              <w:spacing w:before="0" w:after="0"/>
              <w:jc w:val="right"/>
              <w:rPr>
                <w:b/>
              </w:rPr>
            </w:pPr>
            <w:r w:rsidRPr="00D001AF">
              <w:rPr>
                <w:b/>
              </w:rPr>
              <w:t>2</w:t>
            </w:r>
            <w:r w:rsidR="009D0440">
              <w:rPr>
                <w:b/>
              </w:rPr>
              <w:t> </w:t>
            </w:r>
            <w:r w:rsidRPr="00D001AF">
              <w:rPr>
                <w:b/>
              </w:rPr>
              <w:t>998,25</w:t>
            </w:r>
          </w:p>
        </w:tc>
        <w:tc>
          <w:tcPr>
            <w:tcW w:w="1559" w:type="dxa"/>
            <w:vAlign w:val="center"/>
          </w:tcPr>
          <w:p w:rsidR="00B85E93" w:rsidRPr="00D001AF" w:rsidRDefault="00B85E93" w:rsidP="00B85E93">
            <w:pPr>
              <w:spacing w:before="0" w:after="0"/>
              <w:jc w:val="right"/>
              <w:rPr>
                <w:b/>
              </w:rPr>
            </w:pPr>
            <w:r w:rsidRPr="00D001AF">
              <w:rPr>
                <w:b/>
              </w:rPr>
              <w:t>1</w:t>
            </w:r>
            <w:r w:rsidR="009D0440">
              <w:rPr>
                <w:b/>
              </w:rPr>
              <w:t> </w:t>
            </w:r>
            <w:r w:rsidRPr="00D001AF">
              <w:rPr>
                <w:b/>
              </w:rPr>
              <w:t>169,3</w:t>
            </w:r>
          </w:p>
        </w:tc>
        <w:tc>
          <w:tcPr>
            <w:tcW w:w="1559" w:type="dxa"/>
            <w:vAlign w:val="center"/>
          </w:tcPr>
          <w:p w:rsidR="00B85E93" w:rsidRPr="00D001AF" w:rsidRDefault="00B85E93" w:rsidP="00B85E93">
            <w:pPr>
              <w:spacing w:before="0" w:after="0"/>
              <w:jc w:val="right"/>
              <w:rPr>
                <w:b/>
              </w:rPr>
            </w:pPr>
            <w:r w:rsidRPr="00D001AF">
              <w:rPr>
                <w:b/>
              </w:rPr>
              <w:t>788,5</w:t>
            </w:r>
          </w:p>
        </w:tc>
      </w:tr>
    </w:tbl>
    <w:p w:rsidR="00B85E93" w:rsidRDefault="00B85E93" w:rsidP="008D1CBB">
      <w:pPr>
        <w:sectPr w:rsidR="00B85E93" w:rsidSect="00F91C8B">
          <w:pgSz w:w="16838" w:h="11906" w:orient="landscape"/>
          <w:pgMar w:top="1417" w:right="1417" w:bottom="1417" w:left="1417" w:header="709" w:footer="709" w:gutter="0"/>
          <w:cols w:space="708"/>
          <w:docGrid w:linePitch="360"/>
        </w:sectPr>
      </w:pPr>
    </w:p>
    <w:p w:rsidR="00370BDE" w:rsidRDefault="00370BDE" w:rsidP="00370BDE">
      <w:pPr>
        <w:pStyle w:val="Nadpis3"/>
      </w:pPr>
      <w:bookmarkStart w:id="89" w:name="_Ref58241424"/>
      <w:bookmarkStart w:id="90" w:name="_Toc58949368"/>
      <w:r>
        <w:t>Splnění emisních limitů</w:t>
      </w:r>
      <w:bookmarkEnd w:id="89"/>
      <w:bookmarkEnd w:id="90"/>
    </w:p>
    <w:p w:rsidR="006C64BF" w:rsidRPr="006F4E9A" w:rsidRDefault="006C64BF" w:rsidP="006C64BF">
      <w:pPr>
        <w:rPr>
          <w:b/>
        </w:rPr>
      </w:pPr>
      <w:r w:rsidRPr="00DA1597">
        <w:rPr>
          <w:b/>
        </w:rPr>
        <w:t>NO</w:t>
      </w:r>
      <w:r w:rsidRPr="00DA1597">
        <w:rPr>
          <w:b/>
          <w:vertAlign w:val="subscript"/>
        </w:rPr>
        <w:t>X</w:t>
      </w:r>
      <w:r>
        <w:rPr>
          <w:b/>
        </w:rPr>
        <w:t xml:space="preserve"> (oxidy dusíku)</w:t>
      </w:r>
    </w:p>
    <w:p w:rsidR="006C64BF" w:rsidRDefault="006C64BF" w:rsidP="006C64BF">
      <w:r>
        <w:t>Splnění emisních limitů NO</w:t>
      </w:r>
      <w:r w:rsidRPr="00DA1597">
        <w:rPr>
          <w:vertAlign w:val="subscript"/>
        </w:rPr>
        <w:t>X</w:t>
      </w:r>
      <w:r>
        <w:t xml:space="preserve"> (celkových ročních emisí) je prvním a základním předpokladem pro instalaci kogenerační jednotky.</w:t>
      </w:r>
    </w:p>
    <w:p w:rsidR="006C64BF" w:rsidRPr="00F067AB" w:rsidRDefault="006C64BF" w:rsidP="006C64BF">
      <w:pPr>
        <w:rPr>
          <w:b/>
        </w:rPr>
      </w:pPr>
      <w:r w:rsidRPr="00F067AB">
        <w:rPr>
          <w:b/>
        </w:rPr>
        <w:t>Způsoby snížení celkových ročních emisí NO</w:t>
      </w:r>
      <w:r w:rsidRPr="00F067AB">
        <w:rPr>
          <w:b/>
          <w:vertAlign w:val="subscript"/>
        </w:rPr>
        <w:t>X</w:t>
      </w:r>
    </w:p>
    <w:p w:rsidR="006C64BF" w:rsidRDefault="006C64BF" w:rsidP="006C64BF">
      <w:pPr>
        <w:pStyle w:val="Odstavecseseznamem"/>
        <w:numPr>
          <w:ilvl w:val="0"/>
          <w:numId w:val="21"/>
        </w:numPr>
      </w:pPr>
      <w:r w:rsidRPr="00AA08AD">
        <w:rPr>
          <w:b/>
        </w:rPr>
        <w:t>kogenerace s velmi nízkými emisemi NO</w:t>
      </w:r>
      <w:r w:rsidRPr="00AA08AD">
        <w:rPr>
          <w:b/>
          <w:vertAlign w:val="subscript"/>
        </w:rPr>
        <w:t>X</w:t>
      </w:r>
      <w:r>
        <w:t xml:space="preserve"> – emisní faktor pro produkci oxidů dusíku nové KGJ (EF</w:t>
      </w:r>
      <w:r w:rsidRPr="00F067AB">
        <w:rPr>
          <w:vertAlign w:val="subscript"/>
        </w:rPr>
        <w:t>NOX</w:t>
      </w:r>
      <w:r>
        <w:t xml:space="preserve"> </w:t>
      </w:r>
      <w:r>
        <w:rPr>
          <w:lang w:val="en-US"/>
        </w:rPr>
        <w:t>[g·MWh</w:t>
      </w:r>
      <w:r w:rsidRPr="00F067AB">
        <w:rPr>
          <w:vertAlign w:val="subscript"/>
          <w:lang w:val="en-US"/>
        </w:rPr>
        <w:t>tep</w:t>
      </w:r>
      <w:r w:rsidRPr="00F067AB">
        <w:rPr>
          <w:vertAlign w:val="superscript"/>
          <w:lang w:val="en-US"/>
        </w:rPr>
        <w:t>-1</w:t>
      </w:r>
      <w:r>
        <w:rPr>
          <w:lang w:val="en-US"/>
        </w:rPr>
        <w:t>]</w:t>
      </w:r>
      <w:r>
        <w:t>) bude stejný nebo nižší, než emisní faktor pro produkci oxidů dusíku stávajících zdrojů (EF</w:t>
      </w:r>
      <w:r w:rsidRPr="00F067AB">
        <w:rPr>
          <w:vertAlign w:val="subscript"/>
        </w:rPr>
        <w:t>NOX,ref</w:t>
      </w:r>
      <w:r>
        <w:rPr>
          <w:vertAlign w:val="subscript"/>
        </w:rPr>
        <w:t xml:space="preserve"> </w:t>
      </w:r>
      <w:r>
        <w:rPr>
          <w:lang w:val="en-US"/>
        </w:rPr>
        <w:t>[g·MWh</w:t>
      </w:r>
      <w:r w:rsidRPr="00F067AB">
        <w:rPr>
          <w:vertAlign w:val="subscript"/>
          <w:lang w:val="en-US"/>
        </w:rPr>
        <w:t>tep</w:t>
      </w:r>
      <w:r w:rsidRPr="00F067AB">
        <w:rPr>
          <w:vertAlign w:val="superscript"/>
          <w:lang w:val="en-US"/>
        </w:rPr>
        <w:t>-1</w:t>
      </w:r>
      <w:r>
        <w:rPr>
          <w:lang w:val="en-US"/>
        </w:rPr>
        <w:t>]</w:t>
      </w:r>
      <w:r>
        <w:t>)  – tj. při výrobě stejného množství tepla, jako tomu bylo v roce provozu stávajícího zdroje tepla, dojde v roce provozu KGJ ke stejné nebo nižší produkci NO</w:t>
      </w:r>
      <w:r w:rsidRPr="00AA08AD">
        <w:rPr>
          <w:vertAlign w:val="subscript"/>
        </w:rPr>
        <w:t>X</w:t>
      </w:r>
      <w:r>
        <w:t xml:space="preserve"> (tuto podmínku lze použít u varianty B, u varianty A nutno připočítat vyšší výrobu tepla (emisí) pro absorpční chlazení)</w:t>
      </w:r>
    </w:p>
    <w:p w:rsidR="006C64BF" w:rsidRDefault="006C64BF" w:rsidP="006C64BF">
      <w:pPr>
        <w:pStyle w:val="Odstavecseseznamem"/>
        <w:numPr>
          <w:ilvl w:val="0"/>
          <w:numId w:val="21"/>
        </w:numPr>
      </w:pPr>
      <w:r w:rsidRPr="00AA08AD">
        <w:rPr>
          <w:b/>
        </w:rPr>
        <w:t>kogenerace s nízkými emisemi NO</w:t>
      </w:r>
      <w:r w:rsidRPr="00AA08AD">
        <w:rPr>
          <w:b/>
          <w:vertAlign w:val="subscript"/>
        </w:rPr>
        <w:t>X</w:t>
      </w:r>
      <w:r w:rsidRPr="00AA08AD">
        <w:rPr>
          <w:b/>
        </w:rPr>
        <w:t xml:space="preserve"> v kombinaci s úsporou v roční potřebě tepla</w:t>
      </w:r>
      <w:r>
        <w:t xml:space="preserve"> – nižší emise budou podpořeny nižší potřebou produkce tepla (např. zateplení budovy, zpětné získávání tepla)</w:t>
      </w:r>
    </w:p>
    <w:p w:rsidR="006C64BF" w:rsidRDefault="006C64BF" w:rsidP="006C64BF">
      <w:pPr>
        <w:pStyle w:val="Odstavecseseznamem"/>
        <w:numPr>
          <w:ilvl w:val="0"/>
          <w:numId w:val="21"/>
        </w:numPr>
      </w:pPr>
      <w:r>
        <w:rPr>
          <w:b/>
        </w:rPr>
        <w:t xml:space="preserve">kogenerace s nízkými emisemi </w:t>
      </w:r>
      <w:r w:rsidRPr="00AA08AD">
        <w:rPr>
          <w:b/>
        </w:rPr>
        <w:t>NO</w:t>
      </w:r>
      <w:r w:rsidRPr="00AA08AD">
        <w:rPr>
          <w:b/>
          <w:vertAlign w:val="subscript"/>
        </w:rPr>
        <w:t>X</w:t>
      </w:r>
      <w:r w:rsidRPr="00AA08AD">
        <w:rPr>
          <w:b/>
        </w:rPr>
        <w:t xml:space="preserve"> v</w:t>
      </w:r>
      <w:r>
        <w:rPr>
          <w:b/>
        </w:rPr>
        <w:t> </w:t>
      </w:r>
      <w:r w:rsidRPr="00AA08AD">
        <w:rPr>
          <w:b/>
        </w:rPr>
        <w:t>kombinaci</w:t>
      </w:r>
      <w:r>
        <w:rPr>
          <w:b/>
        </w:rPr>
        <w:t xml:space="preserve"> s ekologizací kotlů</w:t>
      </w:r>
      <w:r>
        <w:t xml:space="preserve"> – opatření provedená za účelem snížit emise NO</w:t>
      </w:r>
      <w:r w:rsidRPr="00367853">
        <w:rPr>
          <w:vertAlign w:val="subscript"/>
        </w:rPr>
        <w:t>X</w:t>
      </w:r>
      <w:r>
        <w:t xml:space="preserve"> stávajících zdrojů, které se v novém řešení budou podílet na tepelném hospodářství spolu s KGJ (např. zavedení nové technologie, pořízení nových kotlů za původní)</w:t>
      </w:r>
    </w:p>
    <w:p w:rsidR="009362F5" w:rsidRPr="009362F5" w:rsidRDefault="009362F5" w:rsidP="004C23D6">
      <w:pPr>
        <w:rPr>
          <w:b/>
        </w:rPr>
      </w:pPr>
      <w:r w:rsidRPr="009362F5">
        <w:rPr>
          <w:b/>
        </w:rPr>
        <w:t>Výpočet nepřekročení celkových ročních emisí NO</w:t>
      </w:r>
      <w:r w:rsidRPr="009362F5">
        <w:rPr>
          <w:b/>
          <w:vertAlign w:val="subscript"/>
        </w:rPr>
        <w:t>X</w:t>
      </w:r>
    </w:p>
    <w:p w:rsidR="004C23D6" w:rsidRDefault="004C23D6" w:rsidP="004C23D6">
      <w:r>
        <w:t>Při výpočtu</w:t>
      </w:r>
      <w:r w:rsidR="00AE4EC8">
        <w:t xml:space="preserve"> celkových ročních emisí NO</w:t>
      </w:r>
      <w:r w:rsidR="00AE4EC8" w:rsidRPr="00AE4EC8">
        <w:rPr>
          <w:vertAlign w:val="subscript"/>
        </w:rPr>
        <w:t>X</w:t>
      </w:r>
      <w:r w:rsidR="00AE4EC8">
        <w:t xml:space="preserve"> se vychází z Protokolu o autorizovaném měření plynných emisí z roku 20</w:t>
      </w:r>
      <w:r w:rsidR="00EB32C2">
        <w:t>15–2019</w:t>
      </w:r>
      <w:r w:rsidR="00AE4EC8">
        <w:t xml:space="preserve"> (viz</w:t>
      </w:r>
      <w:r w:rsidR="00A53900">
        <w:t xml:space="preserve"> </w:t>
      </w:r>
      <w:r w:rsidR="00A53900">
        <w:fldChar w:fldCharType="begin"/>
      </w:r>
      <w:r w:rsidR="00A53900">
        <w:instrText xml:space="preserve"> REF _Ref57724074 \h </w:instrText>
      </w:r>
      <w:r w:rsidR="00A53900">
        <w:fldChar w:fldCharType="separate"/>
      </w:r>
      <w:r w:rsidR="00816426" w:rsidRPr="002410EE">
        <w:t xml:space="preserve">Příloha č. </w:t>
      </w:r>
      <w:r w:rsidR="00816426">
        <w:rPr>
          <w:noProof/>
        </w:rPr>
        <w:t>3</w:t>
      </w:r>
      <w:r w:rsidR="00A53900">
        <w:fldChar w:fldCharType="end"/>
      </w:r>
      <w:r w:rsidR="00EB32C2">
        <w:t>–</w:t>
      </w:r>
      <w:r w:rsidR="00EB32C2">
        <w:fldChar w:fldCharType="begin"/>
      </w:r>
      <w:r w:rsidR="00EB32C2">
        <w:instrText xml:space="preserve"> REF _Ref56441094 \h </w:instrText>
      </w:r>
      <w:r w:rsidR="00EB32C2">
        <w:fldChar w:fldCharType="separate"/>
      </w:r>
      <w:r w:rsidR="00816426" w:rsidRPr="002410EE">
        <w:t xml:space="preserve">Příloha č. </w:t>
      </w:r>
      <w:r w:rsidR="00816426">
        <w:rPr>
          <w:noProof/>
        </w:rPr>
        <w:t>7</w:t>
      </w:r>
      <w:r w:rsidR="00EB32C2">
        <w:fldChar w:fldCharType="end"/>
      </w:r>
      <w:r w:rsidR="00AE4EC8">
        <w:t xml:space="preserve">). </w:t>
      </w:r>
    </w:p>
    <w:p w:rsidR="00FE7D48" w:rsidRDefault="00FE7D48" w:rsidP="004C23D6">
      <w:r>
        <w:t xml:space="preserve">Stručně shrnuto v objektu se nachází celkově šest kotlů (K1, K2, K3, K4, K5, K6) ve dvou kotelnách, z nichž jeden je trvale odzbrojen (K6). Na zbylých pěti kotlech (K1–K5) </w:t>
      </w:r>
      <w:r w:rsidR="0027428D">
        <w:t>je prováděno každý rok</w:t>
      </w:r>
      <w:r>
        <w:t xml:space="preserve"> měření plynných spalin. Využití kotlů a </w:t>
      </w:r>
      <w:r w:rsidR="00A53900">
        <w:t xml:space="preserve">průměrná </w:t>
      </w:r>
      <w:r>
        <w:t>naměřen</w:t>
      </w:r>
      <w:r w:rsidR="00A53900">
        <w:t>á</w:t>
      </w:r>
      <w:r>
        <w:t xml:space="preserve"> hmotnostní koncentrac</w:t>
      </w:r>
      <w:r w:rsidR="00A53900">
        <w:t>e</w:t>
      </w:r>
      <w:r>
        <w:t xml:space="preserve"> NO</w:t>
      </w:r>
      <w:r w:rsidRPr="00FE7D48">
        <w:rPr>
          <w:vertAlign w:val="subscript"/>
        </w:rPr>
        <w:t>X</w:t>
      </w:r>
      <w:r>
        <w:t> </w:t>
      </w:r>
      <w:r>
        <w:rPr>
          <w:lang w:val="en-US"/>
        </w:rPr>
        <w:t>[mg·Nm</w:t>
      </w:r>
      <w:r w:rsidRPr="00FE7D48">
        <w:rPr>
          <w:vertAlign w:val="superscript"/>
          <w:lang w:val="en-US"/>
        </w:rPr>
        <w:t>-3</w:t>
      </w:r>
      <w:r>
        <w:rPr>
          <w:lang w:val="en-US"/>
        </w:rPr>
        <w:t>]</w:t>
      </w:r>
      <w:r w:rsidR="00A53900">
        <w:rPr>
          <w:lang w:val="en-US"/>
        </w:rPr>
        <w:t xml:space="preserve"> z let 2015–2019</w:t>
      </w:r>
      <w:r>
        <w:t xml:space="preserve"> jsou uvedeny v </w:t>
      </w:r>
      <w:r w:rsidR="00264626">
        <w:fldChar w:fldCharType="begin"/>
      </w:r>
      <w:r w:rsidR="00264626">
        <w:instrText xml:space="preserve"> REF _Ref56442270 \h </w:instrText>
      </w:r>
      <w:r w:rsidR="00264626">
        <w:fldChar w:fldCharType="separate"/>
      </w:r>
      <w:r w:rsidR="00816426">
        <w:t xml:space="preserve">Tab. </w:t>
      </w:r>
      <w:r w:rsidR="00816426">
        <w:rPr>
          <w:noProof/>
        </w:rPr>
        <w:t>11</w:t>
      </w:r>
      <w:r w:rsidR="00264626">
        <w:fldChar w:fldCharType="end"/>
      </w:r>
      <w:r>
        <w:t>.</w:t>
      </w:r>
    </w:p>
    <w:p w:rsidR="00264626" w:rsidRDefault="00264626" w:rsidP="00264626">
      <w:pPr>
        <w:pStyle w:val="Tabulka"/>
      </w:pPr>
      <w:bookmarkStart w:id="91" w:name="_Ref56442270"/>
      <w:r>
        <w:t xml:space="preserve">Tab. </w:t>
      </w:r>
      <w:fldSimple w:instr=" SEQ Tab. \* ARABIC ">
        <w:r w:rsidR="00816426">
          <w:rPr>
            <w:noProof/>
          </w:rPr>
          <w:t>11</w:t>
        </w:r>
      </w:fldSimple>
      <w:bookmarkEnd w:id="91"/>
      <w:r>
        <w:t xml:space="preserve"> Přehled stávajících kotlů a naměřená hmotnostní koncentrace NO</w:t>
      </w:r>
      <w:r w:rsidRPr="00264626">
        <w:rPr>
          <w:vertAlign w:val="subscript"/>
        </w:rPr>
        <w:t>X</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2552"/>
        <w:gridCol w:w="1984"/>
        <w:gridCol w:w="3510"/>
      </w:tblGrid>
      <w:tr w:rsidR="00264626" w:rsidTr="00A53900">
        <w:trPr>
          <w:trHeight w:val="624"/>
        </w:trPr>
        <w:tc>
          <w:tcPr>
            <w:tcW w:w="1242" w:type="dxa"/>
            <w:tcBorders>
              <w:bottom w:val="single" w:sz="4" w:space="0" w:color="auto"/>
            </w:tcBorders>
            <w:vAlign w:val="center"/>
          </w:tcPr>
          <w:p w:rsidR="00264626" w:rsidRDefault="00264626" w:rsidP="00511836">
            <w:pPr>
              <w:keepNext/>
              <w:spacing w:before="0" w:after="0"/>
              <w:jc w:val="center"/>
            </w:pPr>
            <w:r>
              <w:t>Ozn. kotle</w:t>
            </w:r>
          </w:p>
        </w:tc>
        <w:tc>
          <w:tcPr>
            <w:tcW w:w="2552" w:type="dxa"/>
            <w:tcBorders>
              <w:bottom w:val="single" w:sz="4" w:space="0" w:color="auto"/>
            </w:tcBorders>
            <w:vAlign w:val="center"/>
          </w:tcPr>
          <w:p w:rsidR="00264626" w:rsidRDefault="00264626" w:rsidP="00511836">
            <w:pPr>
              <w:keepNext/>
              <w:spacing w:before="0" w:after="0"/>
              <w:jc w:val="center"/>
            </w:pPr>
            <w:r>
              <w:t>Současné využití kotle</w:t>
            </w:r>
          </w:p>
        </w:tc>
        <w:tc>
          <w:tcPr>
            <w:tcW w:w="1984" w:type="dxa"/>
            <w:tcBorders>
              <w:bottom w:val="single" w:sz="4" w:space="0" w:color="auto"/>
            </w:tcBorders>
            <w:vAlign w:val="center"/>
          </w:tcPr>
          <w:p w:rsidR="00264626" w:rsidRPr="00264626" w:rsidRDefault="00264626" w:rsidP="00511836">
            <w:pPr>
              <w:keepNext/>
              <w:spacing w:before="0" w:after="0"/>
              <w:jc w:val="center"/>
            </w:pPr>
            <w:r>
              <w:t xml:space="preserve">Jmen. výkon </w:t>
            </w:r>
            <w:r>
              <w:rPr>
                <w:lang w:val="en-US"/>
              </w:rPr>
              <w:t>[kW]</w:t>
            </w:r>
          </w:p>
        </w:tc>
        <w:tc>
          <w:tcPr>
            <w:tcW w:w="3510" w:type="dxa"/>
            <w:tcBorders>
              <w:bottom w:val="single" w:sz="4" w:space="0" w:color="auto"/>
            </w:tcBorders>
            <w:vAlign w:val="center"/>
          </w:tcPr>
          <w:p w:rsidR="00264626" w:rsidRPr="00264626" w:rsidRDefault="00A53900" w:rsidP="00511836">
            <w:pPr>
              <w:keepNext/>
              <w:spacing w:before="0" w:after="0"/>
              <w:jc w:val="center"/>
            </w:pPr>
            <w:r>
              <w:t>Průměrná h</w:t>
            </w:r>
            <w:r w:rsidR="00264626">
              <w:t>motnostní koncentrace NO</w:t>
            </w:r>
            <w:r w:rsidR="00264626" w:rsidRPr="00264626">
              <w:rPr>
                <w:vertAlign w:val="subscript"/>
              </w:rPr>
              <w:t>X</w:t>
            </w:r>
            <w:r w:rsidR="00264626">
              <w:t xml:space="preserve"> </w:t>
            </w:r>
            <w:r w:rsidR="00264626">
              <w:rPr>
                <w:lang w:val="en-US"/>
              </w:rPr>
              <w:t>[mg·Nm</w:t>
            </w:r>
            <w:r w:rsidR="00264626" w:rsidRPr="00FE7D48">
              <w:rPr>
                <w:vertAlign w:val="superscript"/>
                <w:lang w:val="en-US"/>
              </w:rPr>
              <w:t>-3</w:t>
            </w:r>
            <w:r w:rsidR="00264626">
              <w:rPr>
                <w:lang w:val="en-US"/>
              </w:rPr>
              <w:t>]</w:t>
            </w:r>
          </w:p>
        </w:tc>
      </w:tr>
      <w:tr w:rsidR="00264626" w:rsidTr="00E42E36">
        <w:trPr>
          <w:trHeight w:val="397"/>
        </w:trPr>
        <w:tc>
          <w:tcPr>
            <w:tcW w:w="1242" w:type="dxa"/>
            <w:tcBorders>
              <w:top w:val="single" w:sz="4" w:space="0" w:color="auto"/>
              <w:bottom w:val="nil"/>
            </w:tcBorders>
            <w:vAlign w:val="center"/>
          </w:tcPr>
          <w:p w:rsidR="00264626" w:rsidRDefault="00264626" w:rsidP="00E42E36">
            <w:pPr>
              <w:keepNext/>
              <w:spacing w:before="0" w:after="0"/>
              <w:jc w:val="left"/>
            </w:pPr>
            <w:r>
              <w:t>K1</w:t>
            </w:r>
          </w:p>
        </w:tc>
        <w:tc>
          <w:tcPr>
            <w:tcW w:w="2552" w:type="dxa"/>
            <w:tcBorders>
              <w:top w:val="single" w:sz="4" w:space="0" w:color="auto"/>
              <w:bottom w:val="nil"/>
            </w:tcBorders>
            <w:vAlign w:val="center"/>
          </w:tcPr>
          <w:p w:rsidR="00264626" w:rsidRDefault="00264626" w:rsidP="00E42E36">
            <w:pPr>
              <w:keepNext/>
              <w:spacing w:before="0" w:after="0"/>
              <w:jc w:val="left"/>
            </w:pPr>
            <w:r>
              <w:t>Ohřev TV</w:t>
            </w:r>
          </w:p>
        </w:tc>
        <w:tc>
          <w:tcPr>
            <w:tcW w:w="1984" w:type="dxa"/>
            <w:tcBorders>
              <w:top w:val="single" w:sz="4" w:space="0" w:color="auto"/>
              <w:bottom w:val="nil"/>
            </w:tcBorders>
            <w:vAlign w:val="center"/>
          </w:tcPr>
          <w:p w:rsidR="00264626" w:rsidRDefault="00264626" w:rsidP="00E42E36">
            <w:pPr>
              <w:keepNext/>
              <w:spacing w:before="0" w:after="0"/>
              <w:jc w:val="right"/>
            </w:pPr>
            <w:r>
              <w:t>530</w:t>
            </w:r>
          </w:p>
        </w:tc>
        <w:tc>
          <w:tcPr>
            <w:tcW w:w="3510" w:type="dxa"/>
            <w:tcBorders>
              <w:top w:val="single" w:sz="4" w:space="0" w:color="auto"/>
              <w:bottom w:val="nil"/>
            </w:tcBorders>
            <w:vAlign w:val="center"/>
          </w:tcPr>
          <w:p w:rsidR="00264626" w:rsidRDefault="00A53900" w:rsidP="00E42E36">
            <w:pPr>
              <w:keepNext/>
              <w:spacing w:before="0" w:after="0"/>
              <w:jc w:val="right"/>
            </w:pPr>
            <w:r>
              <w:t>59,2</w:t>
            </w:r>
          </w:p>
        </w:tc>
      </w:tr>
      <w:tr w:rsidR="00264626" w:rsidTr="00E42E36">
        <w:trPr>
          <w:trHeight w:val="397"/>
        </w:trPr>
        <w:tc>
          <w:tcPr>
            <w:tcW w:w="1242" w:type="dxa"/>
            <w:tcBorders>
              <w:top w:val="nil"/>
              <w:bottom w:val="nil"/>
            </w:tcBorders>
            <w:vAlign w:val="center"/>
          </w:tcPr>
          <w:p w:rsidR="00264626" w:rsidRDefault="00264626" w:rsidP="00E42E36">
            <w:pPr>
              <w:keepNext/>
              <w:spacing w:before="0" w:after="0"/>
              <w:jc w:val="left"/>
            </w:pPr>
            <w:r>
              <w:t>K2</w:t>
            </w:r>
          </w:p>
        </w:tc>
        <w:tc>
          <w:tcPr>
            <w:tcW w:w="2552" w:type="dxa"/>
            <w:tcBorders>
              <w:top w:val="nil"/>
              <w:bottom w:val="nil"/>
            </w:tcBorders>
            <w:vAlign w:val="center"/>
          </w:tcPr>
          <w:p w:rsidR="00264626" w:rsidRDefault="00264626" w:rsidP="00E42E36">
            <w:pPr>
              <w:keepNext/>
              <w:spacing w:before="0" w:after="0"/>
              <w:jc w:val="left"/>
            </w:pPr>
            <w:r>
              <w:t>Vytápění + ohřev TV</w:t>
            </w:r>
          </w:p>
        </w:tc>
        <w:tc>
          <w:tcPr>
            <w:tcW w:w="1984" w:type="dxa"/>
            <w:tcBorders>
              <w:top w:val="nil"/>
              <w:bottom w:val="nil"/>
            </w:tcBorders>
            <w:vAlign w:val="center"/>
          </w:tcPr>
          <w:p w:rsidR="00264626" w:rsidRDefault="00264626" w:rsidP="00E42E36">
            <w:pPr>
              <w:keepNext/>
              <w:spacing w:before="0" w:after="0"/>
              <w:jc w:val="right"/>
            </w:pPr>
            <w:r>
              <w:t>1</w:t>
            </w:r>
            <w:r w:rsidR="009D0440">
              <w:t> </w:t>
            </w:r>
            <w:r>
              <w:t>100</w:t>
            </w:r>
          </w:p>
        </w:tc>
        <w:tc>
          <w:tcPr>
            <w:tcW w:w="3510" w:type="dxa"/>
            <w:tcBorders>
              <w:top w:val="nil"/>
              <w:bottom w:val="nil"/>
            </w:tcBorders>
            <w:vAlign w:val="center"/>
          </w:tcPr>
          <w:p w:rsidR="00264626" w:rsidRDefault="00A53900" w:rsidP="00E42E36">
            <w:pPr>
              <w:keepNext/>
              <w:spacing w:before="0" w:after="0"/>
              <w:jc w:val="right"/>
            </w:pPr>
            <w:r>
              <w:t>87,2</w:t>
            </w:r>
          </w:p>
        </w:tc>
      </w:tr>
      <w:tr w:rsidR="00264626" w:rsidTr="00E42E36">
        <w:trPr>
          <w:trHeight w:val="397"/>
        </w:trPr>
        <w:tc>
          <w:tcPr>
            <w:tcW w:w="1242" w:type="dxa"/>
            <w:tcBorders>
              <w:top w:val="nil"/>
              <w:bottom w:val="nil"/>
            </w:tcBorders>
            <w:vAlign w:val="center"/>
          </w:tcPr>
          <w:p w:rsidR="00264626" w:rsidRDefault="00264626" w:rsidP="00E42E36">
            <w:pPr>
              <w:keepNext/>
              <w:spacing w:before="0" w:after="0"/>
              <w:jc w:val="left"/>
            </w:pPr>
            <w:r>
              <w:t>K3</w:t>
            </w:r>
          </w:p>
        </w:tc>
        <w:tc>
          <w:tcPr>
            <w:tcW w:w="2552" w:type="dxa"/>
            <w:tcBorders>
              <w:top w:val="nil"/>
              <w:bottom w:val="nil"/>
            </w:tcBorders>
            <w:vAlign w:val="center"/>
          </w:tcPr>
          <w:p w:rsidR="00264626" w:rsidRDefault="00264626" w:rsidP="00E42E36">
            <w:pPr>
              <w:keepNext/>
              <w:spacing w:before="0" w:after="0"/>
              <w:jc w:val="left"/>
            </w:pPr>
            <w:r>
              <w:t>Vytápění + ohřev TV</w:t>
            </w:r>
          </w:p>
        </w:tc>
        <w:tc>
          <w:tcPr>
            <w:tcW w:w="1984" w:type="dxa"/>
            <w:tcBorders>
              <w:top w:val="nil"/>
              <w:bottom w:val="nil"/>
            </w:tcBorders>
            <w:vAlign w:val="center"/>
          </w:tcPr>
          <w:p w:rsidR="00264626" w:rsidRDefault="00264626" w:rsidP="00E42E36">
            <w:pPr>
              <w:keepNext/>
              <w:spacing w:before="0" w:after="0"/>
              <w:jc w:val="right"/>
            </w:pPr>
            <w:r>
              <w:t>1</w:t>
            </w:r>
            <w:r w:rsidR="009D0440">
              <w:t> </w:t>
            </w:r>
            <w:r>
              <w:t>100</w:t>
            </w:r>
          </w:p>
        </w:tc>
        <w:tc>
          <w:tcPr>
            <w:tcW w:w="3510" w:type="dxa"/>
            <w:tcBorders>
              <w:top w:val="nil"/>
              <w:bottom w:val="nil"/>
            </w:tcBorders>
            <w:vAlign w:val="center"/>
          </w:tcPr>
          <w:p w:rsidR="00264626" w:rsidRDefault="00A53900" w:rsidP="00E42E36">
            <w:pPr>
              <w:keepNext/>
              <w:spacing w:before="0" w:after="0"/>
              <w:jc w:val="right"/>
            </w:pPr>
            <w:r>
              <w:t>87,1</w:t>
            </w:r>
          </w:p>
        </w:tc>
      </w:tr>
      <w:tr w:rsidR="00264626" w:rsidTr="00E42E36">
        <w:trPr>
          <w:trHeight w:val="397"/>
        </w:trPr>
        <w:tc>
          <w:tcPr>
            <w:tcW w:w="1242" w:type="dxa"/>
            <w:tcBorders>
              <w:top w:val="nil"/>
              <w:bottom w:val="nil"/>
            </w:tcBorders>
            <w:vAlign w:val="center"/>
          </w:tcPr>
          <w:p w:rsidR="00264626" w:rsidRDefault="00264626" w:rsidP="00E42E36">
            <w:pPr>
              <w:keepNext/>
              <w:spacing w:before="0" w:after="0"/>
              <w:jc w:val="left"/>
            </w:pPr>
            <w:r>
              <w:t>K4</w:t>
            </w:r>
          </w:p>
        </w:tc>
        <w:tc>
          <w:tcPr>
            <w:tcW w:w="2552" w:type="dxa"/>
            <w:tcBorders>
              <w:top w:val="nil"/>
              <w:bottom w:val="nil"/>
            </w:tcBorders>
            <w:vAlign w:val="center"/>
          </w:tcPr>
          <w:p w:rsidR="00264626" w:rsidRDefault="00264626" w:rsidP="00E42E36">
            <w:pPr>
              <w:keepNext/>
              <w:spacing w:before="0" w:after="0"/>
              <w:jc w:val="left"/>
            </w:pPr>
            <w:r>
              <w:t>Vytápění + ohřev TV</w:t>
            </w:r>
          </w:p>
        </w:tc>
        <w:tc>
          <w:tcPr>
            <w:tcW w:w="1984" w:type="dxa"/>
            <w:tcBorders>
              <w:top w:val="nil"/>
              <w:bottom w:val="nil"/>
            </w:tcBorders>
            <w:vAlign w:val="center"/>
          </w:tcPr>
          <w:p w:rsidR="00264626" w:rsidRDefault="00264626" w:rsidP="00E42E36">
            <w:pPr>
              <w:keepNext/>
              <w:spacing w:before="0" w:after="0"/>
              <w:jc w:val="right"/>
            </w:pPr>
            <w:r>
              <w:t>1</w:t>
            </w:r>
            <w:r w:rsidR="009D0440">
              <w:t> </w:t>
            </w:r>
            <w:r>
              <w:t>100</w:t>
            </w:r>
          </w:p>
        </w:tc>
        <w:tc>
          <w:tcPr>
            <w:tcW w:w="3510" w:type="dxa"/>
            <w:tcBorders>
              <w:top w:val="nil"/>
              <w:bottom w:val="nil"/>
            </w:tcBorders>
            <w:vAlign w:val="center"/>
          </w:tcPr>
          <w:p w:rsidR="00264626" w:rsidRDefault="00A53900" w:rsidP="00E42E36">
            <w:pPr>
              <w:keepNext/>
              <w:spacing w:before="0" w:after="0"/>
              <w:jc w:val="right"/>
            </w:pPr>
            <w:r>
              <w:t>86,1</w:t>
            </w:r>
          </w:p>
        </w:tc>
      </w:tr>
      <w:tr w:rsidR="00264626" w:rsidTr="00E42E36">
        <w:trPr>
          <w:trHeight w:val="397"/>
        </w:trPr>
        <w:tc>
          <w:tcPr>
            <w:tcW w:w="1242" w:type="dxa"/>
            <w:tcBorders>
              <w:top w:val="nil"/>
              <w:bottom w:val="nil"/>
            </w:tcBorders>
            <w:vAlign w:val="center"/>
          </w:tcPr>
          <w:p w:rsidR="00264626" w:rsidRDefault="00264626" w:rsidP="00E42E36">
            <w:pPr>
              <w:keepNext/>
              <w:spacing w:before="0" w:after="0"/>
              <w:jc w:val="left"/>
            </w:pPr>
            <w:r>
              <w:t>K5</w:t>
            </w:r>
          </w:p>
        </w:tc>
        <w:tc>
          <w:tcPr>
            <w:tcW w:w="2552" w:type="dxa"/>
            <w:tcBorders>
              <w:top w:val="nil"/>
              <w:bottom w:val="nil"/>
            </w:tcBorders>
            <w:vAlign w:val="center"/>
          </w:tcPr>
          <w:p w:rsidR="00264626" w:rsidRDefault="00264626" w:rsidP="00E42E36">
            <w:pPr>
              <w:keepNext/>
              <w:spacing w:before="0" w:after="0"/>
              <w:jc w:val="left"/>
            </w:pPr>
            <w:r>
              <w:t>Vytápění + ohřev TV</w:t>
            </w:r>
          </w:p>
        </w:tc>
        <w:tc>
          <w:tcPr>
            <w:tcW w:w="1984" w:type="dxa"/>
            <w:tcBorders>
              <w:top w:val="nil"/>
              <w:bottom w:val="nil"/>
            </w:tcBorders>
            <w:vAlign w:val="center"/>
          </w:tcPr>
          <w:p w:rsidR="00264626" w:rsidRDefault="00264626" w:rsidP="00E42E36">
            <w:pPr>
              <w:keepNext/>
              <w:spacing w:before="0" w:after="0"/>
              <w:jc w:val="right"/>
            </w:pPr>
            <w:r>
              <w:t>1</w:t>
            </w:r>
            <w:r w:rsidR="009D0440">
              <w:t> </w:t>
            </w:r>
            <w:r>
              <w:t>100</w:t>
            </w:r>
          </w:p>
        </w:tc>
        <w:tc>
          <w:tcPr>
            <w:tcW w:w="3510" w:type="dxa"/>
            <w:tcBorders>
              <w:top w:val="nil"/>
              <w:bottom w:val="nil"/>
            </w:tcBorders>
            <w:vAlign w:val="center"/>
          </w:tcPr>
          <w:p w:rsidR="00264626" w:rsidRDefault="00A53900" w:rsidP="00E42E36">
            <w:pPr>
              <w:keepNext/>
              <w:spacing w:before="0" w:after="0"/>
              <w:jc w:val="right"/>
            </w:pPr>
            <w:r>
              <w:t>82,9</w:t>
            </w:r>
          </w:p>
        </w:tc>
      </w:tr>
      <w:tr w:rsidR="00264626" w:rsidTr="00E42E36">
        <w:trPr>
          <w:trHeight w:val="397"/>
        </w:trPr>
        <w:tc>
          <w:tcPr>
            <w:tcW w:w="1242" w:type="dxa"/>
            <w:tcBorders>
              <w:top w:val="nil"/>
              <w:bottom w:val="single" w:sz="12" w:space="0" w:color="auto"/>
            </w:tcBorders>
            <w:vAlign w:val="center"/>
          </w:tcPr>
          <w:p w:rsidR="00264626" w:rsidRDefault="00264626" w:rsidP="00E42E36">
            <w:pPr>
              <w:spacing w:before="0" w:after="0"/>
              <w:jc w:val="left"/>
            </w:pPr>
            <w:r>
              <w:t>K6</w:t>
            </w:r>
          </w:p>
        </w:tc>
        <w:tc>
          <w:tcPr>
            <w:tcW w:w="2552" w:type="dxa"/>
            <w:tcBorders>
              <w:top w:val="nil"/>
              <w:bottom w:val="single" w:sz="12" w:space="0" w:color="auto"/>
            </w:tcBorders>
            <w:vAlign w:val="center"/>
          </w:tcPr>
          <w:p w:rsidR="00264626" w:rsidRDefault="00264626" w:rsidP="00E42E36">
            <w:pPr>
              <w:spacing w:before="0" w:after="0"/>
              <w:jc w:val="left"/>
            </w:pPr>
            <w:r>
              <w:t>Vytápění + ohřev TV</w:t>
            </w:r>
          </w:p>
        </w:tc>
        <w:tc>
          <w:tcPr>
            <w:tcW w:w="1984" w:type="dxa"/>
            <w:tcBorders>
              <w:top w:val="nil"/>
              <w:bottom w:val="single" w:sz="12" w:space="0" w:color="auto"/>
            </w:tcBorders>
            <w:vAlign w:val="center"/>
          </w:tcPr>
          <w:p w:rsidR="00264626" w:rsidRDefault="00264626" w:rsidP="00E42E36">
            <w:pPr>
              <w:spacing w:before="0" w:after="0"/>
              <w:jc w:val="right"/>
            </w:pPr>
            <w:r>
              <w:t>1</w:t>
            </w:r>
            <w:r w:rsidR="009D0440">
              <w:t> </w:t>
            </w:r>
            <w:r>
              <w:t>100</w:t>
            </w:r>
          </w:p>
        </w:tc>
        <w:tc>
          <w:tcPr>
            <w:tcW w:w="3510" w:type="dxa"/>
            <w:tcBorders>
              <w:top w:val="nil"/>
              <w:bottom w:val="single" w:sz="12" w:space="0" w:color="auto"/>
            </w:tcBorders>
            <w:vAlign w:val="center"/>
          </w:tcPr>
          <w:p w:rsidR="00264626" w:rsidRDefault="00264626" w:rsidP="00E42E36">
            <w:pPr>
              <w:spacing w:before="0" w:after="0"/>
              <w:jc w:val="right"/>
            </w:pPr>
            <w:r>
              <w:t>kotel odzbrojen</w:t>
            </w:r>
            <w:r w:rsidR="00400E85">
              <w:t xml:space="preserve"> (neměřen)</w:t>
            </w:r>
          </w:p>
        </w:tc>
      </w:tr>
    </w:tbl>
    <w:p w:rsidR="00FE7D48" w:rsidRPr="009362F5" w:rsidRDefault="00264626" w:rsidP="004C23D6">
      <w:pPr>
        <w:rPr>
          <w:b/>
        </w:rPr>
      </w:pPr>
      <w:r>
        <w:t>Kotel K1 – jedná se modulační kotel Buderus G605-530/9</w:t>
      </w:r>
      <w:r w:rsidR="009362F5">
        <w:t xml:space="preserve"> (rok výroby 1997)</w:t>
      </w:r>
      <w:r>
        <w:t>,</w:t>
      </w:r>
      <w:r w:rsidR="009362F5">
        <w:t xml:space="preserve"> slouží pouze pro ohřev TV, nízké emise jsou dány instalací nového hořáku Weishaupt WG30N/1-C ZM-LN (rok výroby 2011). </w:t>
      </w:r>
      <w:r w:rsidR="009362F5" w:rsidRPr="009362F5">
        <w:rPr>
          <w:b/>
        </w:rPr>
        <w:t>Provoz tohoto kotle bude po instalaci kogenerační jednotky zachován v plné míře.</w:t>
      </w:r>
    </w:p>
    <w:p w:rsidR="009362F5" w:rsidRDefault="009362F5" w:rsidP="004C23D6">
      <w:r>
        <w:t xml:space="preserve">Kotle K2–K5 – jedná se o kotle Buderus G605-1100/17 (rok výroby 1997), slouží jako zdroj tepla pro systém (vytápění, popř. ohřev TV). Hořák je původní Weishaupt G7/1-D ZMD-NA (rok výroby 1998–1999). </w:t>
      </w:r>
      <w:r w:rsidRPr="009362F5">
        <w:rPr>
          <w:b/>
        </w:rPr>
        <w:t>Provoz nízkoemisní kogenerační jednotky by nahradil část tepla vyrobeného těmito kotli</w:t>
      </w:r>
      <w:r>
        <w:rPr>
          <w:b/>
        </w:rPr>
        <w:t>, přičemž celkové množství vyrobeného tepla nebude po instalaci vyšší než před instalací</w:t>
      </w:r>
      <w:r w:rsidRPr="009362F5">
        <w:rPr>
          <w:b/>
        </w:rPr>
        <w:t>.</w:t>
      </w:r>
    </w:p>
    <w:p w:rsidR="009362F5" w:rsidRDefault="009362F5" w:rsidP="004C23D6">
      <w:r>
        <w:t>Kotel K</w:t>
      </w:r>
      <w:r w:rsidR="00400E85">
        <w:t>6 – jedná se o kotel Buderus G605-1100/17 (rok výroby 1997), sloužil jako zdroj tepla pro systém (vytápění, popř. ohřev TV). Hořák byl původní Weishaupt G7/1-D ZMD-NA (rok výroby 1999). Kotel je trvale odzbrojen.</w:t>
      </w:r>
    </w:p>
    <w:p w:rsidR="00400E85" w:rsidRPr="0086779E" w:rsidRDefault="00A53900" w:rsidP="004C23D6">
      <w:pPr>
        <w:rPr>
          <w:i/>
        </w:rPr>
      </w:pPr>
      <w:r w:rsidRPr="0086779E">
        <w:rPr>
          <w:i/>
        </w:rPr>
        <w:t xml:space="preserve">Na základě doporučení </w:t>
      </w:r>
      <w:r w:rsidR="0086779E" w:rsidRPr="0086779E">
        <w:rPr>
          <w:i/>
        </w:rPr>
        <w:t>oddělení ochrany ovzduší hl. města Prahy jsou měrné emise KGJ porovnány s měrnými emisemi demontovaného kotle K2.</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1418"/>
        <w:gridCol w:w="5528"/>
        <w:gridCol w:w="1024"/>
      </w:tblGrid>
      <w:tr w:rsidR="00C24208" w:rsidTr="00973B98">
        <w:tc>
          <w:tcPr>
            <w:tcW w:w="8188" w:type="dxa"/>
            <w:gridSpan w:val="3"/>
          </w:tcPr>
          <w:p w:rsidR="00C24208" w:rsidRPr="00C24208" w:rsidRDefault="008626D5" w:rsidP="00A53900">
            <m:oMathPara>
              <m:oMathParaPr>
                <m:jc m:val="left"/>
              </m:oMathParaPr>
              <m:oMath>
                <m:sSub>
                  <m:sSubPr>
                    <m:ctrlPr>
                      <w:rPr>
                        <w:rFonts w:ascii="Cambria Math" w:hAnsi="Cambria Math"/>
                        <w:i/>
                        <w:vertAlign w:val="subscript"/>
                      </w:rPr>
                    </m:ctrlPr>
                  </m:sSubPr>
                  <m:e>
                    <m:r>
                      <w:rPr>
                        <w:rFonts w:ascii="Cambria Math" w:hAnsi="Cambria Math"/>
                      </w:rPr>
                      <m:t>f</m:t>
                    </m:r>
                    <m:ctrlPr>
                      <w:rPr>
                        <w:rFonts w:ascii="Cambria Math" w:hAnsi="Cambria Math"/>
                        <w:i/>
                      </w:rPr>
                    </m:ctrlPr>
                  </m:e>
                  <m:sub>
                    <m:r>
                      <w:rPr>
                        <w:rFonts w:ascii="Cambria Math" w:hAnsi="Cambria Math"/>
                        <w:vertAlign w:val="subscript"/>
                      </w:rPr>
                      <m:t>NOXM</m:t>
                    </m:r>
                  </m:sub>
                </m:sSub>
                <m:r>
                  <w:rPr>
                    <w:rFonts w:ascii="Cambria Math" w:hAnsi="Cambria Math"/>
                    <w:vertAlign w:val="subscript"/>
                  </w:rPr>
                  <m:t>=87,2 mg·</m:t>
                </m:r>
                <m:sSup>
                  <m:sSupPr>
                    <m:ctrlPr>
                      <w:rPr>
                        <w:rFonts w:ascii="Cambria Math" w:hAnsi="Cambria Math"/>
                        <w:i/>
                        <w:vertAlign w:val="subscript"/>
                        <w:lang w:val="en-US"/>
                      </w:rPr>
                    </m:ctrlPr>
                  </m:sSupPr>
                  <m:e>
                    <m:r>
                      <w:rPr>
                        <w:rFonts w:ascii="Cambria Math" w:hAnsi="Cambria Math"/>
                        <w:vertAlign w:val="subscript"/>
                      </w:rPr>
                      <m:t>m</m:t>
                    </m:r>
                    <m:ctrlPr>
                      <w:rPr>
                        <w:rFonts w:ascii="Cambria Math" w:hAnsi="Cambria Math"/>
                        <w:i/>
                        <w:vertAlign w:val="subscript"/>
                      </w:rPr>
                    </m:ctrlPr>
                  </m:e>
                  <m:sup>
                    <m:r>
                      <w:rPr>
                        <w:rFonts w:ascii="Cambria Math" w:hAnsi="Cambria Math"/>
                        <w:vertAlign w:val="subscript"/>
                      </w:rPr>
                      <m:t>-3</m:t>
                    </m:r>
                  </m:sup>
                </m:sSup>
                <m:r>
                  <w:rPr>
                    <w:rFonts w:ascii="Cambria Math" w:hAnsi="Cambria Math"/>
                    <w:vertAlign w:val="subscript"/>
                  </w:rPr>
                  <m:t xml:space="preserve"> </m:t>
                </m:r>
              </m:oMath>
            </m:oMathPara>
          </w:p>
        </w:tc>
        <w:tc>
          <w:tcPr>
            <w:tcW w:w="1024" w:type="dxa"/>
          </w:tcPr>
          <w:p w:rsidR="00C24208" w:rsidRDefault="00C24208" w:rsidP="004C23D6"/>
        </w:tc>
      </w:tr>
      <w:tr w:rsidR="00C24208" w:rsidTr="00973B98">
        <w:tc>
          <w:tcPr>
            <w:tcW w:w="8188" w:type="dxa"/>
            <w:gridSpan w:val="3"/>
          </w:tcPr>
          <w:p w:rsidR="00C24208" w:rsidRPr="00C24208" w:rsidRDefault="00C24208" w:rsidP="00C24208">
            <w:pPr>
              <w:rPr>
                <w:rFonts w:eastAsia="Calibri" w:cs="Times New Roman"/>
              </w:rPr>
            </w:pPr>
            <w:r>
              <w:rPr>
                <w:rFonts w:eastAsia="Calibri" w:cs="Times New Roman"/>
              </w:rPr>
              <w:t>kde</w:t>
            </w:r>
          </w:p>
        </w:tc>
        <w:tc>
          <w:tcPr>
            <w:tcW w:w="1024" w:type="dxa"/>
          </w:tcPr>
          <w:p w:rsidR="00C24208" w:rsidRDefault="00C24208" w:rsidP="004C23D6"/>
        </w:tc>
      </w:tr>
      <w:tr w:rsidR="00C24208" w:rsidTr="00973B98">
        <w:tc>
          <w:tcPr>
            <w:tcW w:w="1242" w:type="dxa"/>
          </w:tcPr>
          <w:p w:rsidR="00C24208" w:rsidRPr="00C24208" w:rsidRDefault="008626D5" w:rsidP="00C24208">
            <w:pPr>
              <w:rPr>
                <w:rFonts w:eastAsia="Calibri" w:cs="Times New Roman"/>
              </w:rPr>
            </w:pPr>
            <m:oMathPara>
              <m:oMathParaPr>
                <m:jc m:val="left"/>
              </m:oMathParaPr>
              <m:oMath>
                <m:sSub>
                  <m:sSubPr>
                    <m:ctrlPr>
                      <w:rPr>
                        <w:rFonts w:ascii="Cambria Math" w:hAnsi="Cambria Math"/>
                        <w:i/>
                        <w:vertAlign w:val="subscript"/>
                      </w:rPr>
                    </m:ctrlPr>
                  </m:sSubPr>
                  <m:e>
                    <m:r>
                      <w:rPr>
                        <w:rFonts w:ascii="Cambria Math" w:hAnsi="Cambria Math"/>
                      </w:rPr>
                      <m:t>f</m:t>
                    </m:r>
                    <m:ctrlPr>
                      <w:rPr>
                        <w:rFonts w:ascii="Cambria Math" w:hAnsi="Cambria Math"/>
                        <w:i/>
                      </w:rPr>
                    </m:ctrlPr>
                  </m:e>
                  <m:sub>
                    <m:r>
                      <w:rPr>
                        <w:rFonts w:ascii="Cambria Math" w:hAnsi="Cambria Math"/>
                        <w:vertAlign w:val="subscript"/>
                      </w:rPr>
                      <m:t>NOXM</m:t>
                    </m:r>
                  </m:sub>
                </m:sSub>
              </m:oMath>
            </m:oMathPara>
          </w:p>
        </w:tc>
        <w:tc>
          <w:tcPr>
            <w:tcW w:w="1418" w:type="dxa"/>
          </w:tcPr>
          <w:p w:rsidR="00C24208" w:rsidRPr="00A004AE" w:rsidRDefault="00C24208" w:rsidP="00C24208">
            <w:pPr>
              <w:rPr>
                <w:rFonts w:eastAsia="Calibri" w:cs="Times New Roman"/>
                <w:i/>
              </w:rPr>
            </w:pPr>
            <m:oMathPara>
              <m:oMathParaPr>
                <m:jc m:val="center"/>
              </m:oMathParaPr>
              <m:oMath>
                <m:r>
                  <w:rPr>
                    <w:rFonts w:ascii="Cambria Math" w:hAnsi="Cambria Math"/>
                    <w:vertAlign w:val="subscript"/>
                  </w:rPr>
                  <m:t>[mg·</m:t>
                </m:r>
                <m:sSup>
                  <m:sSupPr>
                    <m:ctrlPr>
                      <w:rPr>
                        <w:rFonts w:ascii="Cambria Math" w:hAnsi="Cambria Math"/>
                        <w:i/>
                        <w:vertAlign w:val="subscript"/>
                        <w:lang w:val="en-US"/>
                      </w:rPr>
                    </m:ctrlPr>
                  </m:sSupPr>
                  <m:e>
                    <m:r>
                      <w:rPr>
                        <w:rFonts w:ascii="Cambria Math" w:hAnsi="Cambria Math"/>
                        <w:vertAlign w:val="subscript"/>
                      </w:rPr>
                      <m:t>m</m:t>
                    </m:r>
                    <m:ctrlPr>
                      <w:rPr>
                        <w:rFonts w:ascii="Cambria Math" w:hAnsi="Cambria Math"/>
                        <w:i/>
                        <w:vertAlign w:val="subscript"/>
                      </w:rPr>
                    </m:ctrlPr>
                  </m:e>
                  <m:sup>
                    <m:r>
                      <w:rPr>
                        <w:rFonts w:ascii="Cambria Math" w:hAnsi="Cambria Math"/>
                        <w:vertAlign w:val="subscript"/>
                      </w:rPr>
                      <m:t>-3</m:t>
                    </m:r>
                  </m:sup>
                </m:sSup>
                <m:r>
                  <w:rPr>
                    <w:rFonts w:ascii="Cambria Math" w:hAnsi="Cambria Math"/>
                    <w:vertAlign w:val="subscript"/>
                  </w:rPr>
                  <m:t>]</m:t>
                </m:r>
              </m:oMath>
            </m:oMathPara>
          </w:p>
        </w:tc>
        <w:tc>
          <w:tcPr>
            <w:tcW w:w="6552" w:type="dxa"/>
            <w:gridSpan w:val="2"/>
          </w:tcPr>
          <w:p w:rsidR="00C24208" w:rsidRDefault="00A53900" w:rsidP="00A53900">
            <w:r>
              <w:t xml:space="preserve">průměrná </w:t>
            </w:r>
            <w:r w:rsidR="00C24208">
              <w:t xml:space="preserve">hmotnostní koncentrace oxidů dusíku ve spalinách </w:t>
            </w:r>
            <w:r>
              <w:t>demontovaného kotle K2</w:t>
            </w:r>
          </w:p>
        </w:tc>
      </w:tr>
    </w:tbl>
    <w:p w:rsidR="00C24208" w:rsidRPr="00A004AE" w:rsidRDefault="00C24208" w:rsidP="004C23D6">
      <w:r>
        <w:t>Objemová koncentrace oxidů dusíku NO</w:t>
      </w:r>
      <w:r w:rsidRPr="00C24208">
        <w:rPr>
          <w:vertAlign w:val="subscript"/>
        </w:rPr>
        <w:t>X</w:t>
      </w:r>
      <w:r>
        <w:t xml:space="preserve"> ve spalinách se pak určí následujícím způsobem</w:t>
      </w:r>
      <w:r w:rsidR="00A004AE">
        <w:t xml:space="preserve"> (dle Topenářské příručky 3, str. 102) </w:t>
      </w:r>
      <w:r w:rsidR="00A004AE">
        <w:rPr>
          <w:lang w:val="en-US"/>
        </w:rPr>
        <w:t>[8].</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1418"/>
        <w:gridCol w:w="5528"/>
        <w:gridCol w:w="1024"/>
      </w:tblGrid>
      <w:tr w:rsidR="00A004AE" w:rsidTr="00973B98">
        <w:tc>
          <w:tcPr>
            <w:tcW w:w="8188" w:type="dxa"/>
            <w:gridSpan w:val="3"/>
          </w:tcPr>
          <w:p w:rsidR="00A004AE" w:rsidRPr="00C24208" w:rsidRDefault="008626D5" w:rsidP="0086779E">
            <w:pPr>
              <w:keepNext/>
            </w:pPr>
            <m:oMathPara>
              <m:oMathParaPr>
                <m:jc m:val="left"/>
              </m:oMathParaPr>
              <m:oMath>
                <m:sSub>
                  <m:sSubPr>
                    <m:ctrlPr>
                      <w:rPr>
                        <w:rFonts w:ascii="Cambria Math" w:hAnsi="Cambria Math"/>
                        <w:i/>
                        <w:vertAlign w:val="subscript"/>
                      </w:rPr>
                    </m:ctrlPr>
                  </m:sSubPr>
                  <m:e>
                    <m:r>
                      <w:rPr>
                        <w:rFonts w:ascii="Cambria Math" w:hAnsi="Cambria Math"/>
                      </w:rPr>
                      <m:t>f</m:t>
                    </m:r>
                    <m:ctrlPr>
                      <w:rPr>
                        <w:rFonts w:ascii="Cambria Math" w:hAnsi="Cambria Math"/>
                        <w:i/>
                      </w:rPr>
                    </m:ctrlPr>
                  </m:e>
                  <m:sub>
                    <m:r>
                      <w:rPr>
                        <w:rFonts w:ascii="Cambria Math" w:hAnsi="Cambria Math"/>
                        <w:vertAlign w:val="subscript"/>
                      </w:rPr>
                      <m:t>NOX</m:t>
                    </m:r>
                  </m:sub>
                </m:sSub>
                <m:r>
                  <w:rPr>
                    <w:rFonts w:ascii="Cambria Math" w:hAnsi="Cambria Math"/>
                    <w:vertAlign w:val="subscript"/>
                  </w:rPr>
                  <m:t>=</m:t>
                </m:r>
                <m:f>
                  <m:fPr>
                    <m:ctrlPr>
                      <w:rPr>
                        <w:rFonts w:ascii="Cambria Math" w:hAnsi="Cambria Math"/>
                        <w:i/>
                        <w:vertAlign w:val="subscript"/>
                      </w:rPr>
                    </m:ctrlPr>
                  </m:fPr>
                  <m:num>
                    <m:sSub>
                      <m:sSubPr>
                        <m:ctrlPr>
                          <w:rPr>
                            <w:rFonts w:ascii="Cambria Math" w:hAnsi="Cambria Math"/>
                            <w:i/>
                            <w:vertAlign w:val="subscript"/>
                          </w:rPr>
                        </m:ctrlPr>
                      </m:sSubPr>
                      <m:e>
                        <m:r>
                          <w:rPr>
                            <w:rFonts w:ascii="Cambria Math" w:hAnsi="Cambria Math"/>
                            <w:vertAlign w:val="subscript"/>
                          </w:rPr>
                          <m:t>f</m:t>
                        </m:r>
                      </m:e>
                      <m:sub>
                        <m:r>
                          <w:rPr>
                            <w:rFonts w:ascii="Cambria Math" w:hAnsi="Cambria Math"/>
                            <w:vertAlign w:val="subscript"/>
                          </w:rPr>
                          <m:t>NOXM</m:t>
                        </m:r>
                      </m:sub>
                    </m:sSub>
                  </m:num>
                  <m:den>
                    <m:sSub>
                      <m:sSubPr>
                        <m:ctrlPr>
                          <w:rPr>
                            <w:rFonts w:ascii="Cambria Math" w:hAnsi="Cambria Math"/>
                            <w:i/>
                            <w:vertAlign w:val="subscript"/>
                          </w:rPr>
                        </m:ctrlPr>
                      </m:sSubPr>
                      <m:e>
                        <m:r>
                          <w:rPr>
                            <w:rFonts w:ascii="Cambria Math" w:hAnsi="Cambria Math"/>
                            <w:vertAlign w:val="subscript"/>
                          </w:rPr>
                          <m:t>ρ</m:t>
                        </m:r>
                      </m:e>
                      <m:sub>
                        <m:r>
                          <w:rPr>
                            <w:rFonts w:ascii="Cambria Math" w:hAnsi="Cambria Math"/>
                            <w:vertAlign w:val="subscript"/>
                          </w:rPr>
                          <m:t>NOX</m:t>
                        </m:r>
                      </m:sub>
                    </m:sSub>
                    <m:r>
                      <w:rPr>
                        <w:rFonts w:ascii="Cambria Math" w:hAnsi="Cambria Math"/>
                        <w:vertAlign w:val="subscript"/>
                      </w:rPr>
                      <m:t>·</m:t>
                    </m:r>
                    <m:sSup>
                      <m:sSupPr>
                        <m:ctrlPr>
                          <w:rPr>
                            <w:rFonts w:ascii="Cambria Math" w:hAnsi="Cambria Math"/>
                            <w:i/>
                            <w:vertAlign w:val="subscript"/>
                            <w:lang w:val="en-US"/>
                          </w:rPr>
                        </m:ctrlPr>
                      </m:sSupPr>
                      <m:e>
                        <m:r>
                          <w:rPr>
                            <w:rFonts w:ascii="Cambria Math" w:hAnsi="Cambria Math"/>
                            <w:vertAlign w:val="subscript"/>
                          </w:rPr>
                          <m:t>10</m:t>
                        </m:r>
                        <m:ctrlPr>
                          <w:rPr>
                            <w:rFonts w:ascii="Cambria Math" w:hAnsi="Cambria Math"/>
                            <w:i/>
                            <w:vertAlign w:val="subscript"/>
                          </w:rPr>
                        </m:ctrlPr>
                      </m:e>
                      <m:sup>
                        <m:r>
                          <w:rPr>
                            <w:rFonts w:ascii="Cambria Math" w:hAnsi="Cambria Math"/>
                            <w:vertAlign w:val="subscript"/>
                          </w:rPr>
                          <m:t>6</m:t>
                        </m:r>
                      </m:sup>
                    </m:sSup>
                  </m:den>
                </m:f>
                <m:r>
                  <w:rPr>
                    <w:rFonts w:ascii="Cambria Math" w:hAnsi="Cambria Math"/>
                    <w:vertAlign w:val="subscript"/>
                  </w:rPr>
                  <m:t>=</m:t>
                </m:r>
                <m:f>
                  <m:fPr>
                    <m:ctrlPr>
                      <w:rPr>
                        <w:rFonts w:ascii="Cambria Math" w:hAnsi="Cambria Math"/>
                        <w:i/>
                        <w:vertAlign w:val="subscript"/>
                      </w:rPr>
                    </m:ctrlPr>
                  </m:fPr>
                  <m:num>
                    <m:r>
                      <w:rPr>
                        <w:rFonts w:ascii="Cambria Math" w:hAnsi="Cambria Math"/>
                        <w:vertAlign w:val="subscript"/>
                      </w:rPr>
                      <m:t>87,2</m:t>
                    </m:r>
                  </m:num>
                  <m:den>
                    <m:r>
                      <w:rPr>
                        <w:rFonts w:ascii="Cambria Math" w:hAnsi="Cambria Math"/>
                        <w:vertAlign w:val="subscript"/>
                      </w:rPr>
                      <m:t>2,05·</m:t>
                    </m:r>
                    <m:sSup>
                      <m:sSupPr>
                        <m:ctrlPr>
                          <w:rPr>
                            <w:rFonts w:ascii="Cambria Math" w:hAnsi="Cambria Math"/>
                            <w:i/>
                            <w:vertAlign w:val="subscript"/>
                            <w:lang w:val="en-US"/>
                          </w:rPr>
                        </m:ctrlPr>
                      </m:sSupPr>
                      <m:e>
                        <m:r>
                          <w:rPr>
                            <w:rFonts w:ascii="Cambria Math" w:hAnsi="Cambria Math"/>
                            <w:vertAlign w:val="subscript"/>
                          </w:rPr>
                          <m:t>10</m:t>
                        </m:r>
                        <m:ctrlPr>
                          <w:rPr>
                            <w:rFonts w:ascii="Cambria Math" w:hAnsi="Cambria Math"/>
                            <w:i/>
                            <w:vertAlign w:val="subscript"/>
                          </w:rPr>
                        </m:ctrlPr>
                      </m:e>
                      <m:sup>
                        <m:r>
                          <w:rPr>
                            <w:rFonts w:ascii="Cambria Math" w:hAnsi="Cambria Math"/>
                            <w:vertAlign w:val="subscript"/>
                          </w:rPr>
                          <m:t>6</m:t>
                        </m:r>
                      </m:sup>
                    </m:sSup>
                  </m:den>
                </m:f>
                <m:r>
                  <w:rPr>
                    <w:rFonts w:ascii="Cambria Math" w:hAnsi="Cambria Math"/>
                    <w:vertAlign w:val="subscript"/>
                  </w:rPr>
                  <m:t>=4,25·</m:t>
                </m:r>
                <m:sSup>
                  <m:sSupPr>
                    <m:ctrlPr>
                      <w:rPr>
                        <w:rFonts w:ascii="Cambria Math" w:hAnsi="Cambria Math"/>
                        <w:i/>
                        <w:vertAlign w:val="subscript"/>
                        <w:lang w:val="en-US"/>
                      </w:rPr>
                    </m:ctrlPr>
                  </m:sSupPr>
                  <m:e>
                    <m:r>
                      <w:rPr>
                        <w:rFonts w:ascii="Cambria Math" w:hAnsi="Cambria Math"/>
                        <w:vertAlign w:val="subscript"/>
                      </w:rPr>
                      <m:t>10</m:t>
                    </m:r>
                    <m:ctrlPr>
                      <w:rPr>
                        <w:rFonts w:ascii="Cambria Math" w:hAnsi="Cambria Math"/>
                        <w:i/>
                        <w:vertAlign w:val="subscript"/>
                      </w:rPr>
                    </m:ctrlPr>
                  </m:e>
                  <m:sup>
                    <m:r>
                      <w:rPr>
                        <w:rFonts w:ascii="Cambria Math" w:hAnsi="Cambria Math"/>
                        <w:vertAlign w:val="subscript"/>
                      </w:rPr>
                      <m:t>-5</m:t>
                    </m:r>
                  </m:sup>
                </m:sSup>
                <m:r>
                  <w:rPr>
                    <w:rFonts w:ascii="Cambria Math" w:hAnsi="Cambria Math"/>
                    <w:vertAlign w:val="subscript"/>
                  </w:rPr>
                  <m:t xml:space="preserve"> </m:t>
                </m:r>
              </m:oMath>
            </m:oMathPara>
          </w:p>
        </w:tc>
        <w:tc>
          <w:tcPr>
            <w:tcW w:w="1024" w:type="dxa"/>
          </w:tcPr>
          <w:p w:rsidR="00A004AE" w:rsidRDefault="00A004AE" w:rsidP="006B683A">
            <w:pPr>
              <w:keepNext/>
            </w:pPr>
          </w:p>
        </w:tc>
      </w:tr>
      <w:tr w:rsidR="00A004AE" w:rsidTr="00973B98">
        <w:tc>
          <w:tcPr>
            <w:tcW w:w="8188" w:type="dxa"/>
            <w:gridSpan w:val="3"/>
          </w:tcPr>
          <w:p w:rsidR="00A004AE" w:rsidRPr="00C24208" w:rsidRDefault="00A004AE" w:rsidP="006B683A">
            <w:pPr>
              <w:keepNext/>
              <w:rPr>
                <w:rFonts w:eastAsia="Calibri" w:cs="Times New Roman"/>
              </w:rPr>
            </w:pPr>
            <w:r>
              <w:rPr>
                <w:rFonts w:eastAsia="Calibri" w:cs="Times New Roman"/>
              </w:rPr>
              <w:t>kde</w:t>
            </w:r>
          </w:p>
        </w:tc>
        <w:tc>
          <w:tcPr>
            <w:tcW w:w="1024" w:type="dxa"/>
          </w:tcPr>
          <w:p w:rsidR="00A004AE" w:rsidRDefault="00A004AE" w:rsidP="006B683A">
            <w:pPr>
              <w:keepNext/>
            </w:pPr>
          </w:p>
        </w:tc>
      </w:tr>
      <w:tr w:rsidR="00A004AE" w:rsidTr="00973B98">
        <w:tc>
          <w:tcPr>
            <w:tcW w:w="1242" w:type="dxa"/>
          </w:tcPr>
          <w:p w:rsidR="00A004AE" w:rsidRPr="00C24208" w:rsidRDefault="008626D5" w:rsidP="006B683A">
            <w:pPr>
              <w:keepNext/>
              <w:rPr>
                <w:rFonts w:eastAsia="Calibri" w:cs="Times New Roman"/>
              </w:rPr>
            </w:pPr>
            <m:oMathPara>
              <m:oMathParaPr>
                <m:jc m:val="left"/>
              </m:oMathParaPr>
              <m:oMath>
                <m:sSub>
                  <m:sSubPr>
                    <m:ctrlPr>
                      <w:rPr>
                        <w:rFonts w:ascii="Cambria Math" w:hAnsi="Cambria Math"/>
                        <w:i/>
                        <w:vertAlign w:val="subscript"/>
                      </w:rPr>
                    </m:ctrlPr>
                  </m:sSubPr>
                  <m:e>
                    <m:r>
                      <w:rPr>
                        <w:rFonts w:ascii="Cambria Math" w:hAnsi="Cambria Math"/>
                      </w:rPr>
                      <m:t>f</m:t>
                    </m:r>
                    <m:ctrlPr>
                      <w:rPr>
                        <w:rFonts w:ascii="Cambria Math" w:hAnsi="Cambria Math"/>
                        <w:i/>
                      </w:rPr>
                    </m:ctrlPr>
                  </m:e>
                  <m:sub>
                    <m:r>
                      <w:rPr>
                        <w:rFonts w:ascii="Cambria Math" w:hAnsi="Cambria Math"/>
                        <w:vertAlign w:val="subscript"/>
                      </w:rPr>
                      <m:t>NOX</m:t>
                    </m:r>
                  </m:sub>
                </m:sSub>
              </m:oMath>
            </m:oMathPara>
          </w:p>
        </w:tc>
        <w:tc>
          <w:tcPr>
            <w:tcW w:w="1418" w:type="dxa"/>
          </w:tcPr>
          <w:p w:rsidR="00A004AE" w:rsidRPr="00A004AE" w:rsidRDefault="00A004AE" w:rsidP="006B683A">
            <w:pPr>
              <w:keepNext/>
              <w:rPr>
                <w:rFonts w:eastAsia="Calibri" w:cs="Times New Roman"/>
                <w:i/>
              </w:rPr>
            </w:pPr>
            <m:oMathPara>
              <m:oMathParaPr>
                <m:jc m:val="center"/>
              </m:oMathParaPr>
              <m:oMath>
                <m:r>
                  <w:rPr>
                    <w:rFonts w:ascii="Cambria Math" w:hAnsi="Cambria Math"/>
                    <w:vertAlign w:val="subscript"/>
                  </w:rPr>
                  <m:t>[–]</m:t>
                </m:r>
              </m:oMath>
            </m:oMathPara>
          </w:p>
        </w:tc>
        <w:tc>
          <w:tcPr>
            <w:tcW w:w="6552" w:type="dxa"/>
            <w:gridSpan w:val="2"/>
          </w:tcPr>
          <w:p w:rsidR="00A004AE" w:rsidRDefault="00A004AE" w:rsidP="006B683A">
            <w:pPr>
              <w:keepNext/>
            </w:pPr>
            <w:r>
              <w:t>objemová koncentrace oxidů dusíku ve spalinách stáv. kotlů</w:t>
            </w:r>
          </w:p>
        </w:tc>
      </w:tr>
      <w:tr w:rsidR="00A004AE" w:rsidTr="00973B98">
        <w:tc>
          <w:tcPr>
            <w:tcW w:w="1242" w:type="dxa"/>
          </w:tcPr>
          <w:p w:rsidR="00A004AE" w:rsidRPr="00A004AE" w:rsidRDefault="008626D5" w:rsidP="00A004AE">
            <w:pPr>
              <w:rPr>
                <w:rFonts w:eastAsia="Calibri" w:cs="Times New Roman"/>
                <w:vertAlign w:val="subscript"/>
              </w:rPr>
            </w:pPr>
            <m:oMathPara>
              <m:oMathParaPr>
                <m:jc m:val="left"/>
              </m:oMathParaPr>
              <m:oMath>
                <m:sSub>
                  <m:sSubPr>
                    <m:ctrlPr>
                      <w:rPr>
                        <w:rFonts w:ascii="Cambria Math" w:hAnsi="Cambria Math"/>
                        <w:i/>
                        <w:vertAlign w:val="subscript"/>
                      </w:rPr>
                    </m:ctrlPr>
                  </m:sSubPr>
                  <m:e>
                    <m:r>
                      <w:rPr>
                        <w:rFonts w:ascii="Cambria Math" w:hAnsi="Cambria Math"/>
                        <w:vertAlign w:val="subscript"/>
                      </w:rPr>
                      <m:t>ρ</m:t>
                    </m:r>
                  </m:e>
                  <m:sub>
                    <m:r>
                      <w:rPr>
                        <w:rFonts w:ascii="Cambria Math" w:hAnsi="Cambria Math"/>
                        <w:vertAlign w:val="subscript"/>
                      </w:rPr>
                      <m:t>NOX</m:t>
                    </m:r>
                  </m:sub>
                </m:sSub>
              </m:oMath>
            </m:oMathPara>
          </w:p>
        </w:tc>
        <w:tc>
          <w:tcPr>
            <w:tcW w:w="1418" w:type="dxa"/>
          </w:tcPr>
          <w:p w:rsidR="00A004AE" w:rsidRPr="00A004AE" w:rsidRDefault="00A004AE" w:rsidP="00A004AE">
            <w:pPr>
              <w:rPr>
                <w:rFonts w:eastAsia="Calibri" w:cs="Times New Roman"/>
                <w:i/>
              </w:rPr>
            </w:pPr>
            <m:oMathPara>
              <m:oMathParaPr>
                <m:jc m:val="center"/>
              </m:oMathParaPr>
              <m:oMath>
                <m:r>
                  <w:rPr>
                    <w:rFonts w:ascii="Cambria Math" w:hAnsi="Cambria Math"/>
                    <w:vertAlign w:val="subscript"/>
                  </w:rPr>
                  <m:t>[kg·</m:t>
                </m:r>
                <m:sSup>
                  <m:sSupPr>
                    <m:ctrlPr>
                      <w:rPr>
                        <w:rFonts w:ascii="Cambria Math" w:hAnsi="Cambria Math"/>
                        <w:i/>
                        <w:vertAlign w:val="subscript"/>
                        <w:lang w:val="en-US"/>
                      </w:rPr>
                    </m:ctrlPr>
                  </m:sSupPr>
                  <m:e>
                    <m:r>
                      <w:rPr>
                        <w:rFonts w:ascii="Cambria Math" w:hAnsi="Cambria Math"/>
                        <w:vertAlign w:val="subscript"/>
                      </w:rPr>
                      <m:t>m</m:t>
                    </m:r>
                    <m:ctrlPr>
                      <w:rPr>
                        <w:rFonts w:ascii="Cambria Math" w:hAnsi="Cambria Math"/>
                        <w:i/>
                        <w:vertAlign w:val="subscript"/>
                      </w:rPr>
                    </m:ctrlPr>
                  </m:e>
                  <m:sup>
                    <m:r>
                      <w:rPr>
                        <w:rFonts w:ascii="Cambria Math" w:hAnsi="Cambria Math"/>
                        <w:vertAlign w:val="subscript"/>
                        <w:lang w:val="en-US"/>
                      </w:rPr>
                      <m:t>-3</m:t>
                    </m:r>
                  </m:sup>
                </m:sSup>
                <m:r>
                  <w:rPr>
                    <w:rFonts w:ascii="Cambria Math" w:hAnsi="Cambria Math"/>
                    <w:vertAlign w:val="subscript"/>
                  </w:rPr>
                  <m:t>]</m:t>
                </m:r>
              </m:oMath>
            </m:oMathPara>
          </w:p>
        </w:tc>
        <w:tc>
          <w:tcPr>
            <w:tcW w:w="6552" w:type="dxa"/>
            <w:gridSpan w:val="2"/>
          </w:tcPr>
          <w:p w:rsidR="00A004AE" w:rsidRPr="00BD26EA" w:rsidRDefault="00A004AE" w:rsidP="00A004AE">
            <w:r>
              <w:t>hustota NO</w:t>
            </w:r>
            <w:r w:rsidRPr="00A004AE">
              <w:rPr>
                <w:vertAlign w:val="subscript"/>
              </w:rPr>
              <w:t>X</w:t>
            </w:r>
            <w:r w:rsidR="00BD26EA">
              <w:t xml:space="preserve"> při 0 °C a 101,3 kPa (</w:t>
            </w:r>
            <w:r w:rsidR="00340D17">
              <w:t>2,05 kg·m</w:t>
            </w:r>
            <w:r w:rsidR="00340D17" w:rsidRPr="00340D17">
              <w:rPr>
                <w:vertAlign w:val="superscript"/>
              </w:rPr>
              <w:t>-3</w:t>
            </w:r>
            <w:r w:rsidR="00340D17">
              <w:t>)</w:t>
            </w:r>
          </w:p>
        </w:tc>
      </w:tr>
    </w:tbl>
    <w:p w:rsidR="00A004AE" w:rsidRDefault="00340D17" w:rsidP="004C23D6">
      <w:r>
        <w:t>Objem NO</w:t>
      </w:r>
      <w:r w:rsidRPr="00340D17">
        <w:rPr>
          <w:vertAlign w:val="subscript"/>
        </w:rPr>
        <w:t>X</w:t>
      </w:r>
      <w:r>
        <w:t xml:space="preserve"> ve spalinách vzniklých z 1 m3 ZP se určí následujícím způsobem (dle Topenářské příručky 3, str. 102) </w:t>
      </w:r>
      <w:r>
        <w:rPr>
          <w:lang w:val="en-US"/>
        </w:rPr>
        <w:t>[8]</w:t>
      </w:r>
      <w: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1418"/>
        <w:gridCol w:w="5528"/>
        <w:gridCol w:w="1024"/>
      </w:tblGrid>
      <w:tr w:rsidR="00340D17" w:rsidTr="00973B98">
        <w:tc>
          <w:tcPr>
            <w:tcW w:w="8188" w:type="dxa"/>
            <w:gridSpan w:val="3"/>
          </w:tcPr>
          <w:p w:rsidR="00340D17" w:rsidRPr="00340D17" w:rsidRDefault="008626D5" w:rsidP="0086779E">
            <w:pPr>
              <w:rPr>
                <w:i/>
              </w:rPr>
            </w:pPr>
            <m:oMathPara>
              <m:oMathParaPr>
                <m:jc m:val="left"/>
              </m:oMathParaPr>
              <m:oMath>
                <m:sSub>
                  <m:sSubPr>
                    <m:ctrlPr>
                      <w:rPr>
                        <w:rFonts w:ascii="Cambria Math" w:hAnsi="Cambria Math"/>
                        <w:i/>
                        <w:vertAlign w:val="subscript"/>
                      </w:rPr>
                    </m:ctrlPr>
                  </m:sSubPr>
                  <m:e>
                    <m:r>
                      <w:rPr>
                        <w:rFonts w:ascii="Cambria Math" w:hAnsi="Cambria Math"/>
                        <w:vertAlign w:val="subscript"/>
                      </w:rPr>
                      <m:t>V</m:t>
                    </m:r>
                    <m:ctrlPr>
                      <w:rPr>
                        <w:rFonts w:ascii="Cambria Math" w:hAnsi="Cambria Math"/>
                        <w:i/>
                      </w:rPr>
                    </m:ctrlPr>
                  </m:e>
                  <m:sub>
                    <m:r>
                      <w:rPr>
                        <w:rFonts w:ascii="Cambria Math" w:hAnsi="Cambria Math"/>
                        <w:vertAlign w:val="subscript"/>
                      </w:rPr>
                      <m:t>NOX</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f</m:t>
                    </m:r>
                  </m:e>
                  <m:sub>
                    <m:r>
                      <w:rPr>
                        <w:rFonts w:ascii="Cambria Math" w:hAnsi="Cambria Math"/>
                        <w:vertAlign w:val="subscript"/>
                      </w:rPr>
                      <m:t>NOX</m:t>
                    </m:r>
                  </m:sub>
                </m:sSub>
                <m:r>
                  <w:rPr>
                    <w:rFonts w:ascii="Cambria Math" w:hAnsi="Cambria Math"/>
                    <w:vertAlign w:val="subscript"/>
                  </w:rPr>
                  <m:t>·</m:t>
                </m:r>
                <m:d>
                  <m:dPr>
                    <m:ctrlPr>
                      <w:rPr>
                        <w:rFonts w:ascii="Cambria Math" w:hAnsi="Cambria Math"/>
                        <w:i/>
                        <w:vertAlign w:val="subscript"/>
                      </w:rPr>
                    </m:ctrlPr>
                  </m:dPr>
                  <m:e>
                    <m:r>
                      <w:rPr>
                        <w:rFonts w:ascii="Cambria Math" w:hAnsi="Cambria Math"/>
                        <w:vertAlign w:val="subscript"/>
                      </w:rPr>
                      <m:t>9,25·λ-1</m:t>
                    </m:r>
                  </m:e>
                </m:d>
                <m:r>
                  <w:rPr>
                    <w:rFonts w:ascii="Cambria Math" w:hAnsi="Cambria Math"/>
                    <w:vertAlign w:val="subscript"/>
                  </w:rPr>
                  <m:t>=4,25·</m:t>
                </m:r>
                <m:sSup>
                  <m:sSupPr>
                    <m:ctrlPr>
                      <w:rPr>
                        <w:rFonts w:ascii="Cambria Math" w:hAnsi="Cambria Math"/>
                        <w:i/>
                        <w:vertAlign w:val="subscript"/>
                        <w:lang w:val="en-US"/>
                      </w:rPr>
                    </m:ctrlPr>
                  </m:sSupPr>
                  <m:e>
                    <m:r>
                      <w:rPr>
                        <w:rFonts w:ascii="Cambria Math" w:hAnsi="Cambria Math"/>
                        <w:vertAlign w:val="subscript"/>
                      </w:rPr>
                      <m:t>10</m:t>
                    </m:r>
                    <m:ctrlPr>
                      <w:rPr>
                        <w:rFonts w:ascii="Cambria Math" w:hAnsi="Cambria Math"/>
                        <w:i/>
                        <w:vertAlign w:val="subscript"/>
                      </w:rPr>
                    </m:ctrlPr>
                  </m:e>
                  <m:sup>
                    <m:r>
                      <w:rPr>
                        <w:rFonts w:ascii="Cambria Math" w:hAnsi="Cambria Math"/>
                        <w:vertAlign w:val="subscript"/>
                      </w:rPr>
                      <m:t>-5</m:t>
                    </m:r>
                  </m:sup>
                </m:sSup>
                <m:r>
                  <w:rPr>
                    <w:rFonts w:ascii="Cambria Math" w:hAnsi="Cambria Math"/>
                    <w:vertAlign w:val="subscript"/>
                  </w:rPr>
                  <m:t>·</m:t>
                </m:r>
                <m:d>
                  <m:dPr>
                    <m:ctrlPr>
                      <w:rPr>
                        <w:rFonts w:ascii="Cambria Math" w:hAnsi="Cambria Math"/>
                        <w:i/>
                        <w:vertAlign w:val="subscript"/>
                      </w:rPr>
                    </m:ctrlPr>
                  </m:dPr>
                  <m:e>
                    <m:r>
                      <w:rPr>
                        <w:rFonts w:ascii="Cambria Math" w:hAnsi="Cambria Math"/>
                        <w:vertAlign w:val="subscript"/>
                      </w:rPr>
                      <m:t>9,52·1,15-1</m:t>
                    </m:r>
                  </m:e>
                </m:d>
                <m:r>
                  <w:rPr>
                    <w:rFonts w:ascii="Cambria Math" w:hAnsi="Cambria Math"/>
                    <w:vertAlign w:val="subscript"/>
                  </w:rPr>
                  <m:t>=4,23·</m:t>
                </m:r>
                <m:sSup>
                  <m:sSupPr>
                    <m:ctrlPr>
                      <w:rPr>
                        <w:rFonts w:ascii="Cambria Math" w:hAnsi="Cambria Math"/>
                        <w:i/>
                        <w:vertAlign w:val="subscript"/>
                        <w:lang w:val="en-US"/>
                      </w:rPr>
                    </m:ctrlPr>
                  </m:sSupPr>
                  <m:e>
                    <m:r>
                      <w:rPr>
                        <w:rFonts w:ascii="Cambria Math" w:hAnsi="Cambria Math"/>
                        <w:vertAlign w:val="subscript"/>
                      </w:rPr>
                      <m:t>10</m:t>
                    </m:r>
                    <m:ctrlPr>
                      <w:rPr>
                        <w:rFonts w:ascii="Cambria Math" w:hAnsi="Cambria Math"/>
                        <w:i/>
                        <w:vertAlign w:val="subscript"/>
                      </w:rPr>
                    </m:ctrlPr>
                  </m:e>
                  <m:sup>
                    <m:r>
                      <w:rPr>
                        <w:rFonts w:ascii="Cambria Math" w:hAnsi="Cambria Math"/>
                        <w:vertAlign w:val="subscript"/>
                      </w:rPr>
                      <m:t>-4</m:t>
                    </m:r>
                  </m:sup>
                </m:sSup>
                <m:sSup>
                  <m:sSupPr>
                    <m:ctrlPr>
                      <w:rPr>
                        <w:rFonts w:ascii="Cambria Math" w:hAnsi="Cambria Math"/>
                        <w:i/>
                        <w:vertAlign w:val="subscript"/>
                        <w:lang w:val="en-US"/>
                      </w:rPr>
                    </m:ctrlPr>
                  </m:sSupPr>
                  <m:e>
                    <m:r>
                      <w:rPr>
                        <w:rFonts w:ascii="Cambria Math" w:hAnsi="Cambria Math"/>
                        <w:vertAlign w:val="subscript"/>
                        <w:lang w:val="en-US"/>
                      </w:rPr>
                      <m:t>m</m:t>
                    </m:r>
                  </m:e>
                  <m:sup>
                    <m:r>
                      <w:rPr>
                        <w:rFonts w:ascii="Cambria Math" w:hAnsi="Cambria Math"/>
                        <w:vertAlign w:val="subscript"/>
                        <w:lang w:val="en-US"/>
                      </w:rPr>
                      <m:t>3</m:t>
                    </m:r>
                  </m:sup>
                </m:sSup>
                <m:r>
                  <w:rPr>
                    <w:rFonts w:ascii="Cambria Math" w:eastAsiaTheme="minorEastAsia" w:hAnsi="Cambria Math"/>
                    <w:vertAlign w:val="subscript"/>
                    <w:lang w:val="en-US"/>
                  </w:rPr>
                  <m:t>·</m:t>
                </m:r>
                <m:sSubSup>
                  <m:sSubSupPr>
                    <m:ctrlPr>
                      <w:rPr>
                        <w:rFonts w:ascii="Cambria Math" w:eastAsiaTheme="minorEastAsia" w:hAnsi="Cambria Math"/>
                        <w:i/>
                        <w:vertAlign w:val="subscript"/>
                      </w:rPr>
                    </m:ctrlPr>
                  </m:sSubSupPr>
                  <m:e>
                    <m:r>
                      <w:rPr>
                        <w:rFonts w:ascii="Cambria Math" w:eastAsiaTheme="minorEastAsia" w:hAnsi="Cambria Math"/>
                        <w:vertAlign w:val="subscript"/>
                        <w:lang w:val="en-US"/>
                      </w:rPr>
                      <m:t>m</m:t>
                    </m:r>
                    <m:ctrlPr>
                      <w:rPr>
                        <w:rFonts w:ascii="Cambria Math" w:eastAsiaTheme="minorEastAsia" w:hAnsi="Cambria Math"/>
                        <w:i/>
                        <w:vertAlign w:val="subscript"/>
                        <w:lang w:val="en-US"/>
                      </w:rPr>
                    </m:ctrlPr>
                  </m:e>
                  <m:sub>
                    <m:r>
                      <w:rPr>
                        <w:rFonts w:ascii="Cambria Math" w:eastAsiaTheme="minorEastAsia" w:hAnsi="Cambria Math"/>
                        <w:vertAlign w:val="subscript"/>
                      </w:rPr>
                      <m:t>ZP</m:t>
                    </m:r>
                    <m:ctrlPr>
                      <w:rPr>
                        <w:rFonts w:ascii="Cambria Math" w:eastAsiaTheme="minorEastAsia" w:hAnsi="Cambria Math"/>
                        <w:i/>
                        <w:vertAlign w:val="subscript"/>
                        <w:lang w:val="en-US"/>
                      </w:rPr>
                    </m:ctrlPr>
                  </m:sub>
                  <m:sup>
                    <m:r>
                      <w:rPr>
                        <w:rFonts w:ascii="Cambria Math" w:eastAsiaTheme="minorEastAsia" w:hAnsi="Cambria Math"/>
                        <w:vertAlign w:val="subscript"/>
                      </w:rPr>
                      <m:t>-3</m:t>
                    </m:r>
                  </m:sup>
                </m:sSubSup>
              </m:oMath>
            </m:oMathPara>
          </w:p>
        </w:tc>
        <w:tc>
          <w:tcPr>
            <w:tcW w:w="1024" w:type="dxa"/>
          </w:tcPr>
          <w:p w:rsidR="00340D17" w:rsidRDefault="00340D17" w:rsidP="0031502D"/>
        </w:tc>
      </w:tr>
      <w:tr w:rsidR="00340D17" w:rsidTr="00973B98">
        <w:tc>
          <w:tcPr>
            <w:tcW w:w="8188" w:type="dxa"/>
            <w:gridSpan w:val="3"/>
          </w:tcPr>
          <w:p w:rsidR="00340D17" w:rsidRPr="00C24208" w:rsidRDefault="00340D17" w:rsidP="0031502D">
            <w:pPr>
              <w:rPr>
                <w:rFonts w:eastAsia="Calibri" w:cs="Times New Roman"/>
              </w:rPr>
            </w:pPr>
            <w:r>
              <w:rPr>
                <w:rFonts w:eastAsia="Calibri" w:cs="Times New Roman"/>
              </w:rPr>
              <w:t>kde</w:t>
            </w:r>
          </w:p>
        </w:tc>
        <w:tc>
          <w:tcPr>
            <w:tcW w:w="1024" w:type="dxa"/>
          </w:tcPr>
          <w:p w:rsidR="00340D17" w:rsidRDefault="00340D17" w:rsidP="0031502D"/>
        </w:tc>
      </w:tr>
      <w:tr w:rsidR="00340D17" w:rsidTr="00973B98">
        <w:tc>
          <w:tcPr>
            <w:tcW w:w="1242" w:type="dxa"/>
          </w:tcPr>
          <w:p w:rsidR="00340D17" w:rsidRPr="00C24208" w:rsidRDefault="008626D5" w:rsidP="0031502D">
            <w:pPr>
              <w:rPr>
                <w:rFonts w:eastAsia="Calibri" w:cs="Times New Roman"/>
              </w:rPr>
            </w:pPr>
            <m:oMathPara>
              <m:oMathParaPr>
                <m:jc m:val="left"/>
              </m:oMathParaPr>
              <m:oMath>
                <m:sSub>
                  <m:sSubPr>
                    <m:ctrlPr>
                      <w:rPr>
                        <w:rFonts w:ascii="Cambria Math" w:hAnsi="Cambria Math"/>
                        <w:i/>
                        <w:vertAlign w:val="subscript"/>
                      </w:rPr>
                    </m:ctrlPr>
                  </m:sSubPr>
                  <m:e>
                    <m:r>
                      <w:rPr>
                        <w:rFonts w:ascii="Cambria Math" w:hAnsi="Cambria Math"/>
                        <w:vertAlign w:val="subscript"/>
                      </w:rPr>
                      <m:t>V</m:t>
                    </m:r>
                    <m:ctrlPr>
                      <w:rPr>
                        <w:rFonts w:ascii="Cambria Math" w:hAnsi="Cambria Math"/>
                        <w:i/>
                      </w:rPr>
                    </m:ctrlPr>
                  </m:e>
                  <m:sub>
                    <m:r>
                      <w:rPr>
                        <w:rFonts w:ascii="Cambria Math" w:hAnsi="Cambria Math"/>
                        <w:vertAlign w:val="subscript"/>
                      </w:rPr>
                      <m:t>NOX</m:t>
                    </m:r>
                  </m:sub>
                </m:sSub>
              </m:oMath>
            </m:oMathPara>
          </w:p>
        </w:tc>
        <w:tc>
          <w:tcPr>
            <w:tcW w:w="1418" w:type="dxa"/>
          </w:tcPr>
          <w:p w:rsidR="00340D17" w:rsidRPr="00A004AE" w:rsidRDefault="00340D17" w:rsidP="0031502D">
            <w:pPr>
              <w:rPr>
                <w:rFonts w:eastAsia="Calibri" w:cs="Times New Roman"/>
                <w:i/>
              </w:rPr>
            </w:pPr>
            <m:oMathPara>
              <m:oMathParaPr>
                <m:jc m:val="center"/>
              </m:oMathParaPr>
              <m:oMath>
                <m:r>
                  <w:rPr>
                    <w:rFonts w:ascii="Cambria Math" w:hAnsi="Cambria Math"/>
                    <w:vertAlign w:val="subscript"/>
                  </w:rPr>
                  <m:t>[</m:t>
                </m:r>
                <m:sSup>
                  <m:sSupPr>
                    <m:ctrlPr>
                      <w:rPr>
                        <w:rFonts w:ascii="Cambria Math" w:hAnsi="Cambria Math"/>
                        <w:i/>
                        <w:vertAlign w:val="subscript"/>
                        <w:lang w:val="en-US"/>
                      </w:rPr>
                    </m:ctrlPr>
                  </m:sSupPr>
                  <m:e>
                    <m:r>
                      <w:rPr>
                        <w:rFonts w:ascii="Cambria Math" w:hAnsi="Cambria Math"/>
                        <w:vertAlign w:val="subscript"/>
                        <w:lang w:val="en-US"/>
                      </w:rPr>
                      <m:t>m</m:t>
                    </m:r>
                  </m:e>
                  <m:sup>
                    <m:r>
                      <w:rPr>
                        <w:rFonts w:ascii="Cambria Math" w:hAnsi="Cambria Math"/>
                        <w:vertAlign w:val="subscript"/>
                        <w:lang w:val="en-US"/>
                      </w:rPr>
                      <m:t>3</m:t>
                    </m:r>
                  </m:sup>
                </m:sSup>
                <m:r>
                  <w:rPr>
                    <w:rFonts w:ascii="Cambria Math" w:eastAsiaTheme="minorEastAsia" w:hAnsi="Cambria Math"/>
                    <w:vertAlign w:val="subscript"/>
                    <w:lang w:val="en-US"/>
                  </w:rPr>
                  <m:t>·</m:t>
                </m:r>
                <m:sSubSup>
                  <m:sSubSupPr>
                    <m:ctrlPr>
                      <w:rPr>
                        <w:rFonts w:ascii="Cambria Math" w:eastAsiaTheme="minorEastAsia" w:hAnsi="Cambria Math"/>
                        <w:i/>
                        <w:vertAlign w:val="subscript"/>
                      </w:rPr>
                    </m:ctrlPr>
                  </m:sSubSupPr>
                  <m:e>
                    <m:r>
                      <w:rPr>
                        <w:rFonts w:ascii="Cambria Math" w:eastAsiaTheme="minorEastAsia" w:hAnsi="Cambria Math"/>
                        <w:vertAlign w:val="subscript"/>
                        <w:lang w:val="en-US"/>
                      </w:rPr>
                      <m:t>m</m:t>
                    </m:r>
                    <m:ctrlPr>
                      <w:rPr>
                        <w:rFonts w:ascii="Cambria Math" w:eastAsiaTheme="minorEastAsia" w:hAnsi="Cambria Math"/>
                        <w:i/>
                        <w:vertAlign w:val="subscript"/>
                        <w:lang w:val="en-US"/>
                      </w:rPr>
                    </m:ctrlPr>
                  </m:e>
                  <m:sub>
                    <m:r>
                      <w:rPr>
                        <w:rFonts w:ascii="Cambria Math" w:eastAsiaTheme="minorEastAsia" w:hAnsi="Cambria Math"/>
                        <w:vertAlign w:val="subscript"/>
                      </w:rPr>
                      <m:t>ZP</m:t>
                    </m:r>
                    <m:ctrlPr>
                      <w:rPr>
                        <w:rFonts w:ascii="Cambria Math" w:eastAsiaTheme="minorEastAsia" w:hAnsi="Cambria Math"/>
                        <w:i/>
                        <w:vertAlign w:val="subscript"/>
                        <w:lang w:val="en-US"/>
                      </w:rPr>
                    </m:ctrlPr>
                  </m:sub>
                  <m:sup>
                    <m:r>
                      <w:rPr>
                        <w:rFonts w:ascii="Cambria Math" w:eastAsiaTheme="minorEastAsia" w:hAnsi="Cambria Math"/>
                        <w:vertAlign w:val="subscript"/>
                      </w:rPr>
                      <m:t>-3</m:t>
                    </m:r>
                  </m:sup>
                </m:sSubSup>
                <m:r>
                  <w:rPr>
                    <w:rFonts w:ascii="Cambria Math" w:hAnsi="Cambria Math"/>
                    <w:vertAlign w:val="subscript"/>
                  </w:rPr>
                  <m:t>]</m:t>
                </m:r>
              </m:oMath>
            </m:oMathPara>
          </w:p>
        </w:tc>
        <w:tc>
          <w:tcPr>
            <w:tcW w:w="6552" w:type="dxa"/>
            <w:gridSpan w:val="2"/>
          </w:tcPr>
          <w:p w:rsidR="00340D17" w:rsidRDefault="00340D17" w:rsidP="0031502D">
            <w:r>
              <w:t>objem NO</w:t>
            </w:r>
            <w:r w:rsidRPr="00340D17">
              <w:rPr>
                <w:vertAlign w:val="subscript"/>
              </w:rPr>
              <w:t>X</w:t>
            </w:r>
            <w:r>
              <w:t xml:space="preserve"> ve spalinách vzniklých z 1 m3 ZP</w:t>
            </w:r>
          </w:p>
        </w:tc>
      </w:tr>
      <w:tr w:rsidR="00340D17" w:rsidTr="00973B98">
        <w:tc>
          <w:tcPr>
            <w:tcW w:w="1242" w:type="dxa"/>
          </w:tcPr>
          <w:p w:rsidR="00340D17" w:rsidRPr="00A004AE" w:rsidRDefault="0031502D" w:rsidP="0031502D">
            <w:pPr>
              <w:rPr>
                <w:rFonts w:eastAsia="Calibri" w:cs="Times New Roman"/>
                <w:vertAlign w:val="subscript"/>
              </w:rPr>
            </w:pPr>
            <m:oMathPara>
              <m:oMathParaPr>
                <m:jc m:val="left"/>
              </m:oMathParaPr>
              <m:oMath>
                <m:r>
                  <w:rPr>
                    <w:rFonts w:ascii="Cambria Math" w:hAnsi="Cambria Math"/>
                    <w:vertAlign w:val="subscript"/>
                  </w:rPr>
                  <m:t>λ</m:t>
                </m:r>
              </m:oMath>
            </m:oMathPara>
          </w:p>
        </w:tc>
        <w:tc>
          <w:tcPr>
            <w:tcW w:w="1418" w:type="dxa"/>
          </w:tcPr>
          <w:p w:rsidR="00340D17" w:rsidRPr="0031502D" w:rsidRDefault="00340D17" w:rsidP="0031502D">
            <w:pPr>
              <w:rPr>
                <w:rFonts w:eastAsia="Calibri" w:cs="Times New Roman"/>
                <w:i/>
                <w:lang w:val="en-US"/>
              </w:rPr>
            </w:pPr>
            <m:oMathPara>
              <m:oMathParaPr>
                <m:jc m:val="center"/>
              </m:oMathParaPr>
              <m:oMath>
                <m:r>
                  <w:rPr>
                    <w:rFonts w:ascii="Cambria Math" w:hAnsi="Cambria Math"/>
                    <w:vertAlign w:val="subscript"/>
                  </w:rPr>
                  <m:t>[–</m:t>
                </m:r>
                <m:r>
                  <w:rPr>
                    <w:rFonts w:ascii="Cambria Math" w:hAnsi="Cambria Math"/>
                    <w:vertAlign w:val="subscript"/>
                    <w:lang w:val="en-US"/>
                  </w:rPr>
                  <m:t>]</m:t>
                </m:r>
              </m:oMath>
            </m:oMathPara>
          </w:p>
        </w:tc>
        <w:tc>
          <w:tcPr>
            <w:tcW w:w="6552" w:type="dxa"/>
            <w:gridSpan w:val="2"/>
          </w:tcPr>
          <w:p w:rsidR="00340D17" w:rsidRPr="00BD26EA" w:rsidRDefault="0031502D" w:rsidP="0031502D">
            <w:r>
              <w:t>součinitel přebytku vzduchu (plynové kotel, 3 % kyslíku ve spalinách, 1,15; kogenerační jednotky, 5 % kyslíku ve spalinách, 1,3125)</w:t>
            </w:r>
          </w:p>
        </w:tc>
      </w:tr>
    </w:tbl>
    <w:p w:rsidR="00340D17" w:rsidRDefault="0031502D" w:rsidP="004C23D6">
      <w:r>
        <w:t>Měrná hmotnostní emise oxidů dusíku NO</w:t>
      </w:r>
      <w:r w:rsidRPr="0031502D">
        <w:rPr>
          <w:vertAlign w:val="subscript"/>
        </w:rPr>
        <w:t>X</w:t>
      </w:r>
      <w:r>
        <w:t xml:space="preserve"> ve spalinách vztažená ke spalnému teplu zemního plynu se určí dle následující rovnice (dle Topenářské příručky 3, str. 102) </w:t>
      </w:r>
      <w:r>
        <w:rPr>
          <w:lang w:val="en-US"/>
        </w:rPr>
        <w:t>[8]</w:t>
      </w:r>
      <w: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1560"/>
        <w:gridCol w:w="5386"/>
        <w:gridCol w:w="1024"/>
      </w:tblGrid>
      <w:tr w:rsidR="0031502D" w:rsidTr="00973B98">
        <w:tc>
          <w:tcPr>
            <w:tcW w:w="8188" w:type="dxa"/>
            <w:gridSpan w:val="3"/>
          </w:tcPr>
          <w:p w:rsidR="0031502D" w:rsidRPr="0031502D" w:rsidRDefault="008626D5" w:rsidP="0086779E">
            <w:pPr>
              <w:rPr>
                <w:i/>
              </w:rPr>
            </w:pPr>
            <m:oMathPara>
              <m:oMathParaPr>
                <m:jc m:val="left"/>
              </m:oMathParaPr>
              <m:oMath>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NOXE</m:t>
                    </m:r>
                  </m:sub>
                </m:sSub>
                <m:r>
                  <w:rPr>
                    <w:rFonts w:ascii="Cambria Math" w:hAnsi="Cambria Math"/>
                    <w:vertAlign w:val="subscript"/>
                  </w:rPr>
                  <m:t>=</m:t>
                </m:r>
                <m:f>
                  <m:fPr>
                    <m:ctrlPr>
                      <w:rPr>
                        <w:rFonts w:ascii="Cambria Math" w:hAnsi="Cambria Math"/>
                        <w:i/>
                        <w:vertAlign w:val="subscript"/>
                      </w:rPr>
                    </m:ctrlPr>
                  </m:fPr>
                  <m:num>
                    <m:sSub>
                      <m:sSubPr>
                        <m:ctrlPr>
                          <w:rPr>
                            <w:rFonts w:ascii="Cambria Math" w:hAnsi="Cambria Math"/>
                            <w:i/>
                            <w:vertAlign w:val="subscript"/>
                          </w:rPr>
                        </m:ctrlPr>
                      </m:sSubPr>
                      <m:e>
                        <m:r>
                          <w:rPr>
                            <w:rFonts w:ascii="Cambria Math" w:hAnsi="Cambria Math"/>
                            <w:vertAlign w:val="subscript"/>
                          </w:rPr>
                          <m:t>V</m:t>
                        </m:r>
                      </m:e>
                      <m:sub>
                        <m:r>
                          <w:rPr>
                            <w:rFonts w:ascii="Cambria Math" w:hAnsi="Cambria Math"/>
                            <w:vertAlign w:val="subscript"/>
                          </w:rPr>
                          <m:t>NOX</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ρ</m:t>
                        </m:r>
                      </m:e>
                      <m:sub>
                        <m:r>
                          <w:rPr>
                            <w:rFonts w:ascii="Cambria Math" w:hAnsi="Cambria Math"/>
                            <w:vertAlign w:val="subscript"/>
                          </w:rPr>
                          <m:t>NOX</m:t>
                        </m:r>
                      </m:sub>
                    </m:sSub>
                  </m:num>
                  <m:den>
                    <m:sSub>
                      <m:sSubPr>
                        <m:ctrlPr>
                          <w:rPr>
                            <w:rFonts w:ascii="Cambria Math" w:hAnsi="Cambria Math"/>
                            <w:i/>
                            <w:vertAlign w:val="subscript"/>
                          </w:rPr>
                        </m:ctrlPr>
                      </m:sSubPr>
                      <m:e>
                        <m:r>
                          <w:rPr>
                            <w:rFonts w:ascii="Cambria Math" w:hAnsi="Cambria Math"/>
                            <w:vertAlign w:val="subscript"/>
                          </w:rPr>
                          <m:t>e</m:t>
                        </m:r>
                      </m:e>
                      <m:sub>
                        <m:r>
                          <w:rPr>
                            <w:rFonts w:ascii="Cambria Math" w:hAnsi="Cambria Math"/>
                            <w:vertAlign w:val="subscript"/>
                          </w:rPr>
                          <m:t>h</m:t>
                        </m:r>
                      </m:sub>
                    </m:sSub>
                  </m:den>
                </m:f>
                <m:r>
                  <w:rPr>
                    <w:rFonts w:ascii="Cambria Math" w:hAnsi="Cambria Math"/>
                    <w:vertAlign w:val="subscript"/>
                  </w:rPr>
                  <m:t>=</m:t>
                </m:r>
                <m:f>
                  <m:fPr>
                    <m:ctrlPr>
                      <w:rPr>
                        <w:rFonts w:ascii="Cambria Math" w:hAnsi="Cambria Math"/>
                        <w:i/>
                        <w:vertAlign w:val="subscript"/>
                      </w:rPr>
                    </m:ctrlPr>
                  </m:fPr>
                  <m:num>
                    <m:r>
                      <w:rPr>
                        <w:rFonts w:ascii="Cambria Math" w:hAnsi="Cambria Math"/>
                        <w:vertAlign w:val="subscript"/>
                      </w:rPr>
                      <m:t>4,23·</m:t>
                    </m:r>
                    <m:sSup>
                      <m:sSupPr>
                        <m:ctrlPr>
                          <w:rPr>
                            <w:rFonts w:ascii="Cambria Math" w:hAnsi="Cambria Math"/>
                            <w:i/>
                            <w:vertAlign w:val="subscript"/>
                            <w:lang w:val="en-US"/>
                          </w:rPr>
                        </m:ctrlPr>
                      </m:sSupPr>
                      <m:e>
                        <m:r>
                          <w:rPr>
                            <w:rFonts w:ascii="Cambria Math" w:hAnsi="Cambria Math"/>
                            <w:vertAlign w:val="subscript"/>
                          </w:rPr>
                          <m:t>10</m:t>
                        </m:r>
                        <m:ctrlPr>
                          <w:rPr>
                            <w:rFonts w:ascii="Cambria Math" w:hAnsi="Cambria Math"/>
                            <w:i/>
                            <w:vertAlign w:val="subscript"/>
                          </w:rPr>
                        </m:ctrlPr>
                      </m:e>
                      <m:sup>
                        <m:r>
                          <w:rPr>
                            <w:rFonts w:ascii="Cambria Math" w:hAnsi="Cambria Math"/>
                            <w:vertAlign w:val="subscript"/>
                          </w:rPr>
                          <m:t>-4</m:t>
                        </m:r>
                      </m:sup>
                    </m:sSup>
                    <m:r>
                      <w:rPr>
                        <w:rFonts w:ascii="Cambria Math" w:hAnsi="Cambria Math"/>
                        <w:vertAlign w:val="subscript"/>
                      </w:rPr>
                      <m:t>·2,05</m:t>
                    </m:r>
                  </m:num>
                  <m:den>
                    <m:r>
                      <w:rPr>
                        <w:rFonts w:ascii="Cambria Math" w:hAnsi="Cambria Math"/>
                        <w:vertAlign w:val="subscript"/>
                      </w:rPr>
                      <m:t>11</m:t>
                    </m:r>
                  </m:den>
                </m:f>
                <m:r>
                  <w:rPr>
                    <w:rFonts w:ascii="Cambria Math" w:eastAsiaTheme="minorEastAsia" w:hAnsi="Cambria Math"/>
                    <w:vertAlign w:val="subscript"/>
                  </w:rPr>
                  <m:t>=7,89·</m:t>
                </m:r>
                <m:sSup>
                  <m:sSupPr>
                    <m:ctrlPr>
                      <w:rPr>
                        <w:rFonts w:ascii="Cambria Math" w:eastAsiaTheme="minorEastAsia" w:hAnsi="Cambria Math"/>
                        <w:i/>
                        <w:vertAlign w:val="subscript"/>
                        <w:lang w:val="en-US"/>
                      </w:rPr>
                    </m:ctrlPr>
                  </m:sSupPr>
                  <m:e>
                    <m:r>
                      <w:rPr>
                        <w:rFonts w:ascii="Cambria Math" w:eastAsiaTheme="minorEastAsia" w:hAnsi="Cambria Math"/>
                        <w:vertAlign w:val="subscript"/>
                      </w:rPr>
                      <m:t>10</m:t>
                    </m:r>
                    <m:ctrlPr>
                      <w:rPr>
                        <w:rFonts w:ascii="Cambria Math" w:eastAsiaTheme="minorEastAsia" w:hAnsi="Cambria Math"/>
                        <w:i/>
                        <w:vertAlign w:val="subscript"/>
                      </w:rPr>
                    </m:ctrlPr>
                  </m:e>
                  <m:sup>
                    <m:r>
                      <w:rPr>
                        <w:rFonts w:ascii="Cambria Math" w:eastAsiaTheme="minorEastAsia" w:hAnsi="Cambria Math"/>
                        <w:vertAlign w:val="subscript"/>
                        <w:lang w:val="en-US"/>
                      </w:rPr>
                      <m:t>-5</m:t>
                    </m:r>
                  </m:sup>
                </m:sSup>
                <m:r>
                  <w:rPr>
                    <w:rFonts w:ascii="Cambria Math" w:eastAsiaTheme="minorEastAsia" w:hAnsi="Cambria Math"/>
                    <w:vertAlign w:val="subscript"/>
                    <w:lang w:val="en-US"/>
                  </w:rPr>
                  <m:t>kg·kW</m:t>
                </m:r>
                <m:sSup>
                  <m:sSupPr>
                    <m:ctrlPr>
                      <w:rPr>
                        <w:rFonts w:ascii="Cambria Math" w:eastAsiaTheme="minorEastAsia" w:hAnsi="Cambria Math"/>
                        <w:i/>
                        <w:vertAlign w:val="subscript"/>
                        <w:lang w:val="en-US"/>
                      </w:rPr>
                    </m:ctrlPr>
                  </m:sSupPr>
                  <m:e>
                    <m:r>
                      <w:rPr>
                        <w:rFonts w:ascii="Cambria Math" w:eastAsiaTheme="minorEastAsia" w:hAnsi="Cambria Math"/>
                        <w:vertAlign w:val="subscript"/>
                        <w:lang w:val="en-US"/>
                      </w:rPr>
                      <m:t>h</m:t>
                    </m:r>
                  </m:e>
                  <m:sup>
                    <m:r>
                      <w:rPr>
                        <w:rFonts w:ascii="Cambria Math" w:eastAsiaTheme="minorEastAsia" w:hAnsi="Cambria Math"/>
                        <w:vertAlign w:val="subscript"/>
                        <w:lang w:val="en-US"/>
                      </w:rPr>
                      <m:t>-1</m:t>
                    </m:r>
                  </m:sup>
                </m:sSup>
                <m:r>
                  <w:rPr>
                    <w:rFonts w:ascii="Cambria Math" w:eastAsiaTheme="minorEastAsia" w:hAnsi="Cambria Math"/>
                    <w:vertAlign w:val="subscript"/>
                    <w:lang w:val="en-US"/>
                  </w:rPr>
                  <m:t xml:space="preserve"> </m:t>
                </m:r>
              </m:oMath>
            </m:oMathPara>
          </w:p>
        </w:tc>
        <w:tc>
          <w:tcPr>
            <w:tcW w:w="1024" w:type="dxa"/>
          </w:tcPr>
          <w:p w:rsidR="0031502D" w:rsidRDefault="0031502D" w:rsidP="0031502D"/>
        </w:tc>
      </w:tr>
      <w:tr w:rsidR="0031502D" w:rsidTr="00973B98">
        <w:tc>
          <w:tcPr>
            <w:tcW w:w="8188" w:type="dxa"/>
            <w:gridSpan w:val="3"/>
          </w:tcPr>
          <w:p w:rsidR="0031502D" w:rsidRPr="00C24208" w:rsidRDefault="0031502D" w:rsidP="0031502D">
            <w:pPr>
              <w:rPr>
                <w:rFonts w:eastAsia="Calibri" w:cs="Times New Roman"/>
              </w:rPr>
            </w:pPr>
            <w:r>
              <w:rPr>
                <w:rFonts w:eastAsia="Calibri" w:cs="Times New Roman"/>
              </w:rPr>
              <w:t>kde</w:t>
            </w:r>
          </w:p>
        </w:tc>
        <w:tc>
          <w:tcPr>
            <w:tcW w:w="1024" w:type="dxa"/>
          </w:tcPr>
          <w:p w:rsidR="0031502D" w:rsidRDefault="0031502D" w:rsidP="0031502D"/>
        </w:tc>
      </w:tr>
      <w:tr w:rsidR="0031502D" w:rsidTr="00973B98">
        <w:tc>
          <w:tcPr>
            <w:tcW w:w="1242" w:type="dxa"/>
          </w:tcPr>
          <w:p w:rsidR="0031502D" w:rsidRPr="00C24208" w:rsidRDefault="008626D5" w:rsidP="0031502D">
            <w:pPr>
              <w:rPr>
                <w:rFonts w:eastAsia="Calibri" w:cs="Times New Roman"/>
              </w:rPr>
            </w:pPr>
            <m:oMathPara>
              <m:oMathParaPr>
                <m:jc m:val="left"/>
              </m:oMathParaPr>
              <m:oMath>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NOXE</m:t>
                    </m:r>
                  </m:sub>
                </m:sSub>
              </m:oMath>
            </m:oMathPara>
          </w:p>
        </w:tc>
        <w:tc>
          <w:tcPr>
            <w:tcW w:w="1560" w:type="dxa"/>
          </w:tcPr>
          <w:p w:rsidR="0031502D" w:rsidRPr="00A004AE" w:rsidRDefault="0031502D" w:rsidP="0031502D">
            <w:pPr>
              <w:rPr>
                <w:rFonts w:eastAsia="Calibri" w:cs="Times New Roman"/>
                <w:i/>
              </w:rPr>
            </w:pPr>
            <m:oMathPara>
              <m:oMathParaPr>
                <m:jc m:val="center"/>
              </m:oMathParaPr>
              <m:oMath>
                <m:r>
                  <w:rPr>
                    <w:rFonts w:ascii="Cambria Math" w:hAnsi="Cambria Math"/>
                    <w:vertAlign w:val="subscript"/>
                  </w:rPr>
                  <m:t>[</m:t>
                </m:r>
                <m:r>
                  <w:rPr>
                    <w:rFonts w:ascii="Cambria Math" w:eastAsiaTheme="minorEastAsia" w:hAnsi="Cambria Math"/>
                    <w:vertAlign w:val="subscript"/>
                    <w:lang w:val="en-US"/>
                  </w:rPr>
                  <m:t>kg·kW</m:t>
                </m:r>
                <m:sSup>
                  <m:sSupPr>
                    <m:ctrlPr>
                      <w:rPr>
                        <w:rFonts w:ascii="Cambria Math" w:eastAsiaTheme="minorEastAsia" w:hAnsi="Cambria Math"/>
                        <w:i/>
                        <w:vertAlign w:val="subscript"/>
                        <w:lang w:val="en-US"/>
                      </w:rPr>
                    </m:ctrlPr>
                  </m:sSupPr>
                  <m:e>
                    <m:r>
                      <w:rPr>
                        <w:rFonts w:ascii="Cambria Math" w:eastAsiaTheme="minorEastAsia" w:hAnsi="Cambria Math"/>
                        <w:vertAlign w:val="subscript"/>
                        <w:lang w:val="en-US"/>
                      </w:rPr>
                      <m:t>h</m:t>
                    </m:r>
                  </m:e>
                  <m:sup>
                    <m:r>
                      <w:rPr>
                        <w:rFonts w:ascii="Cambria Math" w:eastAsiaTheme="minorEastAsia" w:hAnsi="Cambria Math"/>
                        <w:vertAlign w:val="subscript"/>
                        <w:lang w:val="en-US"/>
                      </w:rPr>
                      <m:t>-1</m:t>
                    </m:r>
                  </m:sup>
                </m:sSup>
                <m:r>
                  <w:rPr>
                    <w:rFonts w:ascii="Cambria Math" w:hAnsi="Cambria Math"/>
                    <w:vertAlign w:val="subscript"/>
                  </w:rPr>
                  <m:t>]</m:t>
                </m:r>
              </m:oMath>
            </m:oMathPara>
          </w:p>
        </w:tc>
        <w:tc>
          <w:tcPr>
            <w:tcW w:w="6410" w:type="dxa"/>
            <w:gridSpan w:val="2"/>
          </w:tcPr>
          <w:p w:rsidR="0031502D" w:rsidRDefault="0031502D" w:rsidP="0031502D">
            <w:r>
              <w:t>měrná hmotnostní emise oxidů dusíku NO</w:t>
            </w:r>
            <w:r w:rsidRPr="0031502D">
              <w:rPr>
                <w:vertAlign w:val="subscript"/>
              </w:rPr>
              <w:t>X</w:t>
            </w:r>
            <w:r>
              <w:t xml:space="preserve"> ve spalinách vztažená ke spalnému teplu ZP</w:t>
            </w:r>
          </w:p>
        </w:tc>
      </w:tr>
      <w:tr w:rsidR="0031502D" w:rsidTr="00973B98">
        <w:tc>
          <w:tcPr>
            <w:tcW w:w="1242" w:type="dxa"/>
          </w:tcPr>
          <w:p w:rsidR="0031502D" w:rsidRPr="00A004AE" w:rsidRDefault="008626D5" w:rsidP="0031502D">
            <w:pPr>
              <w:rPr>
                <w:rFonts w:eastAsia="Calibri" w:cs="Times New Roman"/>
                <w:vertAlign w:val="subscript"/>
              </w:rPr>
            </w:pPr>
            <m:oMathPara>
              <m:oMathParaPr>
                <m:jc m:val="left"/>
              </m:oMathParaPr>
              <m:oMath>
                <m:sSub>
                  <m:sSubPr>
                    <m:ctrlPr>
                      <w:rPr>
                        <w:rFonts w:ascii="Cambria Math" w:hAnsi="Cambria Math"/>
                        <w:i/>
                        <w:vertAlign w:val="subscript"/>
                      </w:rPr>
                    </m:ctrlPr>
                  </m:sSubPr>
                  <m:e>
                    <m:r>
                      <w:rPr>
                        <w:rFonts w:ascii="Cambria Math" w:hAnsi="Cambria Math"/>
                        <w:vertAlign w:val="subscript"/>
                      </w:rPr>
                      <m:t>e</m:t>
                    </m:r>
                  </m:e>
                  <m:sub>
                    <m:r>
                      <w:rPr>
                        <w:rFonts w:ascii="Cambria Math" w:hAnsi="Cambria Math"/>
                        <w:vertAlign w:val="subscript"/>
                      </w:rPr>
                      <m:t>h</m:t>
                    </m:r>
                  </m:sub>
                </m:sSub>
              </m:oMath>
            </m:oMathPara>
          </w:p>
        </w:tc>
        <w:tc>
          <w:tcPr>
            <w:tcW w:w="1560" w:type="dxa"/>
          </w:tcPr>
          <w:p w:rsidR="0031502D" w:rsidRPr="0031502D" w:rsidRDefault="0031502D" w:rsidP="0031502D">
            <w:pPr>
              <w:rPr>
                <w:rFonts w:eastAsia="Calibri" w:cs="Times New Roman"/>
                <w:i/>
                <w:lang w:val="en-US"/>
              </w:rPr>
            </w:pPr>
            <m:oMathPara>
              <m:oMathParaPr>
                <m:jc m:val="center"/>
              </m:oMathParaPr>
              <m:oMath>
                <m:r>
                  <w:rPr>
                    <w:rFonts w:ascii="Cambria Math" w:hAnsi="Cambria Math"/>
                    <w:vertAlign w:val="subscript"/>
                  </w:rPr>
                  <m:t>[kWh·</m:t>
                </m:r>
                <m:sSup>
                  <m:sSupPr>
                    <m:ctrlPr>
                      <w:rPr>
                        <w:rFonts w:ascii="Cambria Math" w:hAnsi="Cambria Math"/>
                        <w:i/>
                        <w:vertAlign w:val="subscript"/>
                        <w:lang w:val="en-US"/>
                      </w:rPr>
                    </m:ctrlPr>
                  </m:sSupPr>
                  <m:e>
                    <m:r>
                      <w:rPr>
                        <w:rFonts w:ascii="Cambria Math" w:hAnsi="Cambria Math"/>
                        <w:vertAlign w:val="subscript"/>
                      </w:rPr>
                      <m:t>m</m:t>
                    </m:r>
                    <m:ctrlPr>
                      <w:rPr>
                        <w:rFonts w:ascii="Cambria Math" w:hAnsi="Cambria Math"/>
                        <w:i/>
                        <w:vertAlign w:val="subscript"/>
                      </w:rPr>
                    </m:ctrlPr>
                  </m:e>
                  <m:sup>
                    <m:r>
                      <w:rPr>
                        <w:rFonts w:ascii="Cambria Math" w:hAnsi="Cambria Math"/>
                        <w:vertAlign w:val="subscript"/>
                        <w:lang w:val="en-US"/>
                      </w:rPr>
                      <m:t>-3</m:t>
                    </m:r>
                  </m:sup>
                </m:sSup>
                <m:r>
                  <w:rPr>
                    <w:rFonts w:ascii="Cambria Math" w:hAnsi="Cambria Math"/>
                    <w:vertAlign w:val="subscript"/>
                    <w:lang w:val="en-US"/>
                  </w:rPr>
                  <m:t>]</m:t>
                </m:r>
              </m:oMath>
            </m:oMathPara>
          </w:p>
        </w:tc>
        <w:tc>
          <w:tcPr>
            <w:tcW w:w="6410" w:type="dxa"/>
            <w:gridSpan w:val="2"/>
          </w:tcPr>
          <w:p w:rsidR="0031502D" w:rsidRPr="0031502D" w:rsidRDefault="0031502D" w:rsidP="0031502D">
            <w:r>
              <w:t>spalné teplo ZP (11 kWh·m</w:t>
            </w:r>
            <w:r w:rsidRPr="0031502D">
              <w:rPr>
                <w:vertAlign w:val="superscript"/>
                <w:lang w:val="en-US"/>
              </w:rPr>
              <w:t>-3</w:t>
            </w:r>
            <w:r>
              <w:rPr>
                <w:lang w:val="en-US"/>
              </w:rPr>
              <w:t>)</w:t>
            </w:r>
          </w:p>
        </w:tc>
      </w:tr>
    </w:tbl>
    <w:p w:rsidR="0031502D" w:rsidRDefault="002D2992" w:rsidP="004C23D6">
      <w:r>
        <w:t>Kotel nepracuje se 100% tepelnou účinností, nutno přepočítat výslednou hodnotu na jeho účinnost. Dle provozovatele činí 92 % (vzhledem ke stáří kotlů nebyly nalezeny žádné technické katalogy).</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1560"/>
        <w:gridCol w:w="5386"/>
        <w:gridCol w:w="1024"/>
      </w:tblGrid>
      <w:tr w:rsidR="002D2992" w:rsidTr="00973B98">
        <w:tc>
          <w:tcPr>
            <w:tcW w:w="8188" w:type="dxa"/>
            <w:gridSpan w:val="3"/>
          </w:tcPr>
          <w:p w:rsidR="002D2992" w:rsidRPr="0031502D" w:rsidRDefault="008626D5" w:rsidP="0086779E">
            <w:pPr>
              <w:rPr>
                <w:i/>
              </w:rPr>
            </w:pPr>
            <m:oMathPara>
              <m:oMathParaPr>
                <m:jc m:val="left"/>
              </m:oMathParaPr>
              <m:oMath>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NOXEtep</m:t>
                    </m:r>
                  </m:sub>
                </m:sSub>
                <m:r>
                  <w:rPr>
                    <w:rFonts w:ascii="Cambria Math" w:hAnsi="Cambria Math"/>
                    <w:vertAlign w:val="subscript"/>
                  </w:rPr>
                  <m:t>=</m:t>
                </m:r>
                <m:f>
                  <m:fPr>
                    <m:ctrlPr>
                      <w:rPr>
                        <w:rFonts w:ascii="Cambria Math" w:hAnsi="Cambria Math"/>
                        <w:i/>
                        <w:vertAlign w:val="subscript"/>
                      </w:rPr>
                    </m:ctrlPr>
                  </m:fPr>
                  <m:num>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NOXE</m:t>
                        </m:r>
                      </m:sub>
                    </m:sSub>
                  </m:num>
                  <m:den>
                    <m:sSub>
                      <m:sSubPr>
                        <m:ctrlPr>
                          <w:rPr>
                            <w:rFonts w:ascii="Cambria Math" w:hAnsi="Cambria Math"/>
                            <w:i/>
                            <w:vertAlign w:val="subscript"/>
                          </w:rPr>
                        </m:ctrlPr>
                      </m:sSubPr>
                      <m:e>
                        <m:r>
                          <w:rPr>
                            <w:rFonts w:ascii="Cambria Math" w:hAnsi="Cambria Math"/>
                            <w:vertAlign w:val="subscript"/>
                          </w:rPr>
                          <m:t>η</m:t>
                        </m:r>
                      </m:e>
                      <m:sub>
                        <m:r>
                          <w:rPr>
                            <w:rFonts w:ascii="Cambria Math" w:hAnsi="Cambria Math"/>
                            <w:vertAlign w:val="subscript"/>
                          </w:rPr>
                          <m:t>kot</m:t>
                        </m:r>
                      </m:sub>
                    </m:sSub>
                  </m:den>
                </m:f>
                <m:r>
                  <w:rPr>
                    <w:rFonts w:ascii="Cambria Math" w:hAnsi="Cambria Math"/>
                    <w:vertAlign w:val="subscript"/>
                  </w:rPr>
                  <m:t>=</m:t>
                </m:r>
                <m:f>
                  <m:fPr>
                    <m:ctrlPr>
                      <w:rPr>
                        <w:rFonts w:ascii="Cambria Math" w:hAnsi="Cambria Math"/>
                        <w:i/>
                        <w:vertAlign w:val="subscript"/>
                      </w:rPr>
                    </m:ctrlPr>
                  </m:fPr>
                  <m:num>
                    <m:r>
                      <w:rPr>
                        <w:rFonts w:ascii="Cambria Math" w:eastAsiaTheme="minorEastAsia" w:hAnsi="Cambria Math"/>
                        <w:vertAlign w:val="subscript"/>
                      </w:rPr>
                      <m:t>7,89·</m:t>
                    </m:r>
                    <m:sSup>
                      <m:sSupPr>
                        <m:ctrlPr>
                          <w:rPr>
                            <w:rFonts w:ascii="Cambria Math" w:eastAsiaTheme="minorEastAsia" w:hAnsi="Cambria Math"/>
                            <w:i/>
                            <w:vertAlign w:val="subscript"/>
                            <w:lang w:val="en-US"/>
                          </w:rPr>
                        </m:ctrlPr>
                      </m:sSupPr>
                      <m:e>
                        <m:r>
                          <w:rPr>
                            <w:rFonts w:ascii="Cambria Math" w:eastAsiaTheme="minorEastAsia" w:hAnsi="Cambria Math"/>
                            <w:vertAlign w:val="subscript"/>
                          </w:rPr>
                          <m:t>10</m:t>
                        </m:r>
                        <m:ctrlPr>
                          <w:rPr>
                            <w:rFonts w:ascii="Cambria Math" w:eastAsiaTheme="minorEastAsia" w:hAnsi="Cambria Math"/>
                            <w:i/>
                            <w:vertAlign w:val="subscript"/>
                          </w:rPr>
                        </m:ctrlPr>
                      </m:e>
                      <m:sup>
                        <m:r>
                          <w:rPr>
                            <w:rFonts w:ascii="Cambria Math" w:eastAsiaTheme="minorEastAsia" w:hAnsi="Cambria Math"/>
                            <w:vertAlign w:val="subscript"/>
                            <w:lang w:val="en-US"/>
                          </w:rPr>
                          <m:t>-5</m:t>
                        </m:r>
                      </m:sup>
                    </m:sSup>
                  </m:num>
                  <m:den>
                    <m:r>
                      <w:rPr>
                        <w:rFonts w:ascii="Cambria Math" w:hAnsi="Cambria Math"/>
                        <w:vertAlign w:val="subscript"/>
                      </w:rPr>
                      <m:t>0,92</m:t>
                    </m:r>
                  </m:den>
                </m:f>
                <m:r>
                  <w:rPr>
                    <w:rFonts w:ascii="Cambria Math" w:eastAsiaTheme="minorEastAsia" w:hAnsi="Cambria Math"/>
                    <w:vertAlign w:val="subscript"/>
                  </w:rPr>
                  <m:t>=85,7·</m:t>
                </m:r>
                <m:sSup>
                  <m:sSupPr>
                    <m:ctrlPr>
                      <w:rPr>
                        <w:rFonts w:ascii="Cambria Math" w:eastAsiaTheme="minorEastAsia" w:hAnsi="Cambria Math"/>
                        <w:i/>
                        <w:vertAlign w:val="subscript"/>
                        <w:lang w:val="en-US"/>
                      </w:rPr>
                    </m:ctrlPr>
                  </m:sSupPr>
                  <m:e>
                    <m:r>
                      <w:rPr>
                        <w:rFonts w:ascii="Cambria Math" w:eastAsiaTheme="minorEastAsia" w:hAnsi="Cambria Math"/>
                        <w:vertAlign w:val="subscript"/>
                      </w:rPr>
                      <m:t>10</m:t>
                    </m:r>
                    <m:ctrlPr>
                      <w:rPr>
                        <w:rFonts w:ascii="Cambria Math" w:eastAsiaTheme="minorEastAsia" w:hAnsi="Cambria Math"/>
                        <w:i/>
                        <w:vertAlign w:val="subscript"/>
                      </w:rPr>
                    </m:ctrlPr>
                  </m:e>
                  <m:sup>
                    <m:r>
                      <w:rPr>
                        <w:rFonts w:ascii="Cambria Math" w:eastAsiaTheme="minorEastAsia" w:hAnsi="Cambria Math"/>
                        <w:vertAlign w:val="subscript"/>
                        <w:lang w:val="en-US"/>
                      </w:rPr>
                      <m:t>-5</m:t>
                    </m:r>
                  </m:sup>
                </m:sSup>
                <m:r>
                  <w:rPr>
                    <w:rFonts w:ascii="Cambria Math" w:eastAsiaTheme="minorEastAsia" w:hAnsi="Cambria Math"/>
                    <w:vertAlign w:val="subscript"/>
                    <w:lang w:val="en-US"/>
                  </w:rPr>
                  <m:t>kg·kW</m:t>
                </m:r>
                <m:sSubSup>
                  <m:sSubSupPr>
                    <m:ctrlPr>
                      <w:rPr>
                        <w:rFonts w:ascii="Cambria Math" w:eastAsiaTheme="minorEastAsia" w:hAnsi="Cambria Math"/>
                        <w:i/>
                        <w:vertAlign w:val="subscript"/>
                        <w:lang w:val="en-US"/>
                      </w:rPr>
                    </m:ctrlPr>
                  </m:sSubSupPr>
                  <m:e>
                    <m:r>
                      <w:rPr>
                        <w:rFonts w:ascii="Cambria Math" w:eastAsiaTheme="minorEastAsia" w:hAnsi="Cambria Math"/>
                        <w:vertAlign w:val="subscript"/>
                        <w:lang w:val="en-US"/>
                      </w:rPr>
                      <m:t>h</m:t>
                    </m:r>
                  </m:e>
                  <m:sub>
                    <m:r>
                      <w:rPr>
                        <w:rFonts w:ascii="Cambria Math" w:eastAsiaTheme="minorEastAsia" w:hAnsi="Cambria Math"/>
                        <w:vertAlign w:val="subscript"/>
                        <w:lang w:val="en-US"/>
                      </w:rPr>
                      <m:t>tep</m:t>
                    </m:r>
                  </m:sub>
                  <m:sup>
                    <m:r>
                      <w:rPr>
                        <w:rFonts w:ascii="Cambria Math" w:eastAsiaTheme="minorEastAsia" w:hAnsi="Cambria Math"/>
                        <w:vertAlign w:val="subscript"/>
                        <w:lang w:val="en-US"/>
                      </w:rPr>
                      <m:t>-1</m:t>
                    </m:r>
                  </m:sup>
                </m:sSubSup>
                <m:r>
                  <w:rPr>
                    <w:rFonts w:ascii="Cambria Math" w:eastAsiaTheme="minorEastAsia" w:hAnsi="Cambria Math"/>
                    <w:vertAlign w:val="subscript"/>
                    <w:lang w:val="en-US"/>
                  </w:rPr>
                  <m:t>=85,7 g·MW</m:t>
                </m:r>
                <m:sSubSup>
                  <m:sSubSupPr>
                    <m:ctrlPr>
                      <w:rPr>
                        <w:rFonts w:ascii="Cambria Math" w:eastAsiaTheme="minorEastAsia" w:hAnsi="Cambria Math"/>
                        <w:i/>
                        <w:vertAlign w:val="subscript"/>
                        <w:lang w:val="en-US"/>
                      </w:rPr>
                    </m:ctrlPr>
                  </m:sSubSupPr>
                  <m:e>
                    <m:r>
                      <w:rPr>
                        <w:rFonts w:ascii="Cambria Math" w:eastAsiaTheme="minorEastAsia" w:hAnsi="Cambria Math"/>
                        <w:vertAlign w:val="subscript"/>
                        <w:lang w:val="en-US"/>
                      </w:rPr>
                      <m:t>h</m:t>
                    </m:r>
                  </m:e>
                  <m:sub>
                    <m:r>
                      <w:rPr>
                        <w:rFonts w:ascii="Cambria Math" w:eastAsiaTheme="minorEastAsia" w:hAnsi="Cambria Math"/>
                        <w:vertAlign w:val="subscript"/>
                        <w:lang w:val="en-US"/>
                      </w:rPr>
                      <m:t>tep</m:t>
                    </m:r>
                  </m:sub>
                  <m:sup>
                    <m:r>
                      <w:rPr>
                        <w:rFonts w:ascii="Cambria Math" w:eastAsiaTheme="minorEastAsia" w:hAnsi="Cambria Math"/>
                        <w:vertAlign w:val="subscript"/>
                        <w:lang w:val="en-US"/>
                      </w:rPr>
                      <m:t>-1</m:t>
                    </m:r>
                  </m:sup>
                </m:sSubSup>
                <m:r>
                  <w:rPr>
                    <w:rFonts w:ascii="Cambria Math" w:eastAsiaTheme="minorEastAsia" w:hAnsi="Cambria Math"/>
                    <w:vertAlign w:val="subscript"/>
                    <w:lang w:val="en-US"/>
                  </w:rPr>
                  <m:t xml:space="preserve"> </m:t>
                </m:r>
              </m:oMath>
            </m:oMathPara>
          </w:p>
        </w:tc>
        <w:tc>
          <w:tcPr>
            <w:tcW w:w="1024" w:type="dxa"/>
          </w:tcPr>
          <w:p w:rsidR="002D2992" w:rsidRDefault="002D2992" w:rsidP="006152B4"/>
        </w:tc>
      </w:tr>
      <w:tr w:rsidR="002D2992" w:rsidTr="00973B98">
        <w:tc>
          <w:tcPr>
            <w:tcW w:w="8188" w:type="dxa"/>
            <w:gridSpan w:val="3"/>
          </w:tcPr>
          <w:p w:rsidR="002D2992" w:rsidRPr="00C24208" w:rsidRDefault="002D2992" w:rsidP="006152B4">
            <w:pPr>
              <w:rPr>
                <w:rFonts w:eastAsia="Calibri" w:cs="Times New Roman"/>
              </w:rPr>
            </w:pPr>
            <w:r>
              <w:rPr>
                <w:rFonts w:eastAsia="Calibri" w:cs="Times New Roman"/>
              </w:rPr>
              <w:t>kde</w:t>
            </w:r>
          </w:p>
        </w:tc>
        <w:tc>
          <w:tcPr>
            <w:tcW w:w="1024" w:type="dxa"/>
          </w:tcPr>
          <w:p w:rsidR="002D2992" w:rsidRDefault="002D2992" w:rsidP="006152B4"/>
        </w:tc>
      </w:tr>
      <w:tr w:rsidR="002D2992" w:rsidTr="00973B98">
        <w:tc>
          <w:tcPr>
            <w:tcW w:w="1242" w:type="dxa"/>
          </w:tcPr>
          <w:p w:rsidR="002D2992" w:rsidRPr="00C24208" w:rsidRDefault="008626D5" w:rsidP="006152B4">
            <w:pPr>
              <w:rPr>
                <w:rFonts w:eastAsia="Calibri" w:cs="Times New Roman"/>
              </w:rPr>
            </w:pPr>
            <m:oMathPara>
              <m:oMathParaPr>
                <m:jc m:val="left"/>
              </m:oMathParaPr>
              <m:oMath>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NOXEtep</m:t>
                    </m:r>
                  </m:sub>
                </m:sSub>
              </m:oMath>
            </m:oMathPara>
          </w:p>
        </w:tc>
        <w:tc>
          <w:tcPr>
            <w:tcW w:w="1560" w:type="dxa"/>
          </w:tcPr>
          <w:p w:rsidR="002D2992" w:rsidRPr="00A004AE" w:rsidRDefault="002D2992" w:rsidP="006152B4">
            <w:pPr>
              <w:rPr>
                <w:rFonts w:eastAsia="Calibri" w:cs="Times New Roman"/>
                <w:i/>
              </w:rPr>
            </w:pPr>
            <m:oMathPara>
              <m:oMathParaPr>
                <m:jc m:val="center"/>
              </m:oMathParaPr>
              <m:oMath>
                <m:r>
                  <w:rPr>
                    <w:rFonts w:ascii="Cambria Math" w:hAnsi="Cambria Math"/>
                    <w:vertAlign w:val="subscript"/>
                  </w:rPr>
                  <m:t>[</m:t>
                </m:r>
                <m:r>
                  <w:rPr>
                    <w:rFonts w:ascii="Cambria Math" w:eastAsiaTheme="minorEastAsia" w:hAnsi="Cambria Math"/>
                    <w:vertAlign w:val="subscript"/>
                    <w:lang w:val="en-US"/>
                  </w:rPr>
                  <m:t>kg·kW</m:t>
                </m:r>
                <m:sSubSup>
                  <m:sSubSupPr>
                    <m:ctrlPr>
                      <w:rPr>
                        <w:rFonts w:ascii="Cambria Math" w:eastAsiaTheme="minorEastAsia" w:hAnsi="Cambria Math"/>
                        <w:i/>
                        <w:vertAlign w:val="subscript"/>
                      </w:rPr>
                    </m:ctrlPr>
                  </m:sSubSupPr>
                  <m:e>
                    <m:r>
                      <w:rPr>
                        <w:rFonts w:ascii="Cambria Math" w:eastAsiaTheme="minorEastAsia" w:hAnsi="Cambria Math"/>
                        <w:vertAlign w:val="subscript"/>
                        <w:lang w:val="en-US"/>
                      </w:rPr>
                      <m:t>h</m:t>
                    </m:r>
                    <m:ctrlPr>
                      <w:rPr>
                        <w:rFonts w:ascii="Cambria Math" w:eastAsiaTheme="minorEastAsia" w:hAnsi="Cambria Math"/>
                        <w:i/>
                        <w:vertAlign w:val="subscript"/>
                        <w:lang w:val="en-US"/>
                      </w:rPr>
                    </m:ctrlPr>
                  </m:e>
                  <m:sub>
                    <m:r>
                      <w:rPr>
                        <w:rFonts w:ascii="Cambria Math" w:eastAsiaTheme="minorEastAsia" w:hAnsi="Cambria Math"/>
                        <w:vertAlign w:val="subscript"/>
                      </w:rPr>
                      <m:t>tep</m:t>
                    </m:r>
                  </m:sub>
                  <m:sup>
                    <m:r>
                      <w:rPr>
                        <w:rFonts w:ascii="Cambria Math" w:eastAsiaTheme="minorEastAsia" w:hAnsi="Cambria Math"/>
                        <w:vertAlign w:val="subscript"/>
                        <w:lang w:val="en-US"/>
                      </w:rPr>
                      <m:t>-1</m:t>
                    </m:r>
                    <m:ctrlPr>
                      <w:rPr>
                        <w:rFonts w:ascii="Cambria Math" w:eastAsiaTheme="minorEastAsia" w:hAnsi="Cambria Math"/>
                        <w:i/>
                        <w:vertAlign w:val="subscript"/>
                        <w:lang w:val="en-US"/>
                      </w:rPr>
                    </m:ctrlPr>
                  </m:sup>
                </m:sSubSup>
                <m:r>
                  <w:rPr>
                    <w:rFonts w:ascii="Cambria Math" w:hAnsi="Cambria Math"/>
                    <w:vertAlign w:val="subscript"/>
                  </w:rPr>
                  <m:t>]</m:t>
                </m:r>
              </m:oMath>
            </m:oMathPara>
          </w:p>
        </w:tc>
        <w:tc>
          <w:tcPr>
            <w:tcW w:w="6410" w:type="dxa"/>
            <w:gridSpan w:val="2"/>
          </w:tcPr>
          <w:p w:rsidR="002D2992" w:rsidRDefault="002D2992" w:rsidP="006152B4">
            <w:r>
              <w:t>měrná hmotnostní emise oxidů dusíku NO</w:t>
            </w:r>
            <w:r w:rsidRPr="0031502D">
              <w:rPr>
                <w:vertAlign w:val="subscript"/>
              </w:rPr>
              <w:t>X</w:t>
            </w:r>
            <w:r>
              <w:t xml:space="preserve"> ve spalinách vztažená ke spalnému teplu ZP</w:t>
            </w:r>
          </w:p>
        </w:tc>
      </w:tr>
      <w:tr w:rsidR="002D2992" w:rsidTr="00973B98">
        <w:tc>
          <w:tcPr>
            <w:tcW w:w="1242" w:type="dxa"/>
          </w:tcPr>
          <w:p w:rsidR="002D2992" w:rsidRPr="00A004AE" w:rsidRDefault="008626D5" w:rsidP="006152B4">
            <w:pPr>
              <w:rPr>
                <w:rFonts w:eastAsia="Calibri" w:cs="Times New Roman"/>
                <w:vertAlign w:val="subscript"/>
              </w:rPr>
            </w:pPr>
            <m:oMathPara>
              <m:oMathParaPr>
                <m:jc m:val="left"/>
              </m:oMathParaPr>
              <m:oMath>
                <m:sSub>
                  <m:sSubPr>
                    <m:ctrlPr>
                      <w:rPr>
                        <w:rFonts w:ascii="Cambria Math" w:hAnsi="Cambria Math"/>
                        <w:i/>
                        <w:vertAlign w:val="subscript"/>
                      </w:rPr>
                    </m:ctrlPr>
                  </m:sSubPr>
                  <m:e>
                    <m:r>
                      <w:rPr>
                        <w:rFonts w:ascii="Cambria Math" w:hAnsi="Cambria Math"/>
                        <w:vertAlign w:val="subscript"/>
                      </w:rPr>
                      <m:t>e</m:t>
                    </m:r>
                  </m:e>
                  <m:sub>
                    <m:r>
                      <w:rPr>
                        <w:rFonts w:ascii="Cambria Math" w:hAnsi="Cambria Math"/>
                        <w:vertAlign w:val="subscript"/>
                      </w:rPr>
                      <m:t>h</m:t>
                    </m:r>
                  </m:sub>
                </m:sSub>
              </m:oMath>
            </m:oMathPara>
          </w:p>
        </w:tc>
        <w:tc>
          <w:tcPr>
            <w:tcW w:w="1560" w:type="dxa"/>
          </w:tcPr>
          <w:p w:rsidR="002D2992" w:rsidRPr="0031502D" w:rsidRDefault="002D2992" w:rsidP="006152B4">
            <w:pPr>
              <w:rPr>
                <w:rFonts w:eastAsia="Calibri" w:cs="Times New Roman"/>
                <w:i/>
                <w:lang w:val="en-US"/>
              </w:rPr>
            </w:pPr>
            <m:oMathPara>
              <m:oMathParaPr>
                <m:jc m:val="center"/>
              </m:oMathParaPr>
              <m:oMath>
                <m:r>
                  <w:rPr>
                    <w:rFonts w:ascii="Cambria Math" w:hAnsi="Cambria Math"/>
                    <w:vertAlign w:val="subscript"/>
                  </w:rPr>
                  <m:t>[kWh·</m:t>
                </m:r>
                <m:sSup>
                  <m:sSupPr>
                    <m:ctrlPr>
                      <w:rPr>
                        <w:rFonts w:ascii="Cambria Math" w:hAnsi="Cambria Math"/>
                        <w:i/>
                        <w:vertAlign w:val="subscript"/>
                        <w:lang w:val="en-US"/>
                      </w:rPr>
                    </m:ctrlPr>
                  </m:sSupPr>
                  <m:e>
                    <m:r>
                      <w:rPr>
                        <w:rFonts w:ascii="Cambria Math" w:hAnsi="Cambria Math"/>
                        <w:vertAlign w:val="subscript"/>
                      </w:rPr>
                      <m:t>m</m:t>
                    </m:r>
                    <m:ctrlPr>
                      <w:rPr>
                        <w:rFonts w:ascii="Cambria Math" w:hAnsi="Cambria Math"/>
                        <w:i/>
                        <w:vertAlign w:val="subscript"/>
                      </w:rPr>
                    </m:ctrlPr>
                  </m:e>
                  <m:sup>
                    <m:r>
                      <w:rPr>
                        <w:rFonts w:ascii="Cambria Math" w:hAnsi="Cambria Math"/>
                        <w:vertAlign w:val="subscript"/>
                        <w:lang w:val="en-US"/>
                      </w:rPr>
                      <m:t>-3</m:t>
                    </m:r>
                  </m:sup>
                </m:sSup>
                <m:r>
                  <w:rPr>
                    <w:rFonts w:ascii="Cambria Math" w:hAnsi="Cambria Math"/>
                    <w:vertAlign w:val="subscript"/>
                    <w:lang w:val="en-US"/>
                  </w:rPr>
                  <m:t>]</m:t>
                </m:r>
              </m:oMath>
            </m:oMathPara>
          </w:p>
        </w:tc>
        <w:tc>
          <w:tcPr>
            <w:tcW w:w="6410" w:type="dxa"/>
            <w:gridSpan w:val="2"/>
          </w:tcPr>
          <w:p w:rsidR="002D2992" w:rsidRPr="0031502D" w:rsidRDefault="002D2992" w:rsidP="006152B4">
            <w:r>
              <w:t>spalné teplo ZP (11 kWh·m</w:t>
            </w:r>
            <w:r w:rsidRPr="0031502D">
              <w:rPr>
                <w:vertAlign w:val="superscript"/>
                <w:lang w:val="en-US"/>
              </w:rPr>
              <w:t>-3</w:t>
            </w:r>
            <w:r>
              <w:rPr>
                <w:lang w:val="en-US"/>
              </w:rPr>
              <w:t>)</w:t>
            </w:r>
          </w:p>
        </w:tc>
      </w:tr>
    </w:tbl>
    <w:p w:rsidR="002D2992" w:rsidRDefault="002D2992" w:rsidP="004C23D6">
      <w:r>
        <w:t>Stejný postup výpočtu byl aplikován na kogenerační jednotku. Dle výrobce činí hmotnostní koncentrace oxidů dusíku NO</w:t>
      </w:r>
      <w:r w:rsidRPr="002D2992">
        <w:rPr>
          <w:vertAlign w:val="subscript"/>
        </w:rPr>
        <w:t>X</w:t>
      </w:r>
      <w:r>
        <w:t xml:space="preserve"> ve spalinách pouze </w:t>
      </w:r>
      <w:r w:rsidRPr="0086779E">
        <w:t>40</w:t>
      </w:r>
      <w:r>
        <w:t xml:space="preserve"> mg·m</w:t>
      </w:r>
      <w:r w:rsidRPr="002D2992">
        <w:rPr>
          <w:vertAlign w:val="superscript"/>
        </w:rPr>
        <w:t>-3</w:t>
      </w:r>
      <w:r>
        <w:t>. Nevýhodou kogenerační jednotky je však tepelná účinnost, která činí pouze přibližně 56 %. Dále je oproti kotli uvažováno se spalováním s vyšším obsahem kyslíku ve spalinách (5 % místo 3 % O</w:t>
      </w:r>
      <w:r w:rsidRPr="002D2992">
        <w:rPr>
          <w:vertAlign w:val="subscript"/>
        </w:rPr>
        <w:t>2</w:t>
      </w:r>
      <w:r>
        <w:t xml:space="preserve"> ve spalinách). Výsledky výpočtu </w:t>
      </w:r>
      <w:r w:rsidR="00F62A76">
        <w:t>stávajícího kotle K2</w:t>
      </w:r>
      <w:r>
        <w:t xml:space="preserve"> a navržené kogenerační jednotky jsou porovnány v </w:t>
      </w:r>
      <w:r w:rsidR="00377098">
        <w:fldChar w:fldCharType="begin"/>
      </w:r>
      <w:r w:rsidR="00377098">
        <w:instrText xml:space="preserve"> REF _Ref56448379 \h </w:instrText>
      </w:r>
      <w:r w:rsidR="00377098">
        <w:fldChar w:fldCharType="separate"/>
      </w:r>
      <w:r w:rsidR="00816426">
        <w:t xml:space="preserve">Tab. </w:t>
      </w:r>
      <w:r w:rsidR="00816426">
        <w:rPr>
          <w:noProof/>
        </w:rPr>
        <w:t>12</w:t>
      </w:r>
      <w:r w:rsidR="00377098">
        <w:fldChar w:fldCharType="end"/>
      </w:r>
      <w:r>
        <w:t>.</w:t>
      </w:r>
    </w:p>
    <w:p w:rsidR="00377098" w:rsidRDefault="00377098" w:rsidP="006152B4">
      <w:pPr>
        <w:pStyle w:val="Tabulka"/>
      </w:pPr>
      <w:bookmarkStart w:id="92" w:name="_Ref56448379"/>
      <w:r>
        <w:t xml:space="preserve">Tab. </w:t>
      </w:r>
      <w:fldSimple w:instr=" SEQ Tab. \* ARABIC ">
        <w:r w:rsidR="00816426">
          <w:rPr>
            <w:noProof/>
          </w:rPr>
          <w:t>12</w:t>
        </w:r>
      </w:fldSimple>
      <w:bookmarkEnd w:id="92"/>
      <w:r>
        <w:t xml:space="preserve"> Výpočet emisí NOX stávajících kotlů (K2–K5) a nově navržené KGJ</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1560"/>
        <w:gridCol w:w="3243"/>
        <w:gridCol w:w="3243"/>
      </w:tblGrid>
      <w:tr w:rsidR="002D2992" w:rsidTr="00511836">
        <w:trPr>
          <w:trHeight w:val="397"/>
        </w:trPr>
        <w:tc>
          <w:tcPr>
            <w:tcW w:w="1242" w:type="dxa"/>
            <w:tcBorders>
              <w:top w:val="single" w:sz="12" w:space="0" w:color="auto"/>
              <w:bottom w:val="single" w:sz="4" w:space="0" w:color="auto"/>
            </w:tcBorders>
          </w:tcPr>
          <w:p w:rsidR="002D2992" w:rsidRDefault="002D2992" w:rsidP="006152B4">
            <w:pPr>
              <w:keepNext/>
              <w:spacing w:before="0" w:after="0"/>
            </w:pPr>
          </w:p>
        </w:tc>
        <w:tc>
          <w:tcPr>
            <w:tcW w:w="1560" w:type="dxa"/>
            <w:tcBorders>
              <w:top w:val="single" w:sz="12" w:space="0" w:color="auto"/>
              <w:bottom w:val="single" w:sz="4" w:space="0" w:color="auto"/>
            </w:tcBorders>
          </w:tcPr>
          <w:p w:rsidR="002D2992" w:rsidRDefault="002D2992" w:rsidP="006152B4">
            <w:pPr>
              <w:keepNext/>
              <w:spacing w:before="0" w:after="0"/>
              <w:jc w:val="center"/>
            </w:pPr>
          </w:p>
        </w:tc>
        <w:tc>
          <w:tcPr>
            <w:tcW w:w="3243" w:type="dxa"/>
            <w:tcBorders>
              <w:top w:val="single" w:sz="12" w:space="0" w:color="auto"/>
              <w:bottom w:val="single" w:sz="4" w:space="0" w:color="auto"/>
            </w:tcBorders>
            <w:vAlign w:val="center"/>
          </w:tcPr>
          <w:p w:rsidR="002D2992" w:rsidRDefault="002D2992" w:rsidP="006152B4">
            <w:pPr>
              <w:keepNext/>
              <w:spacing w:before="0" w:after="0"/>
              <w:jc w:val="center"/>
            </w:pPr>
            <w:r>
              <w:t>kotel</w:t>
            </w:r>
            <w:r w:rsidR="00F62A76">
              <w:t xml:space="preserve"> K2</w:t>
            </w:r>
          </w:p>
        </w:tc>
        <w:tc>
          <w:tcPr>
            <w:tcW w:w="3243" w:type="dxa"/>
            <w:tcBorders>
              <w:top w:val="single" w:sz="12" w:space="0" w:color="auto"/>
              <w:bottom w:val="single" w:sz="4" w:space="0" w:color="auto"/>
            </w:tcBorders>
            <w:vAlign w:val="center"/>
          </w:tcPr>
          <w:p w:rsidR="002D2992" w:rsidRDefault="002D2992" w:rsidP="006152B4">
            <w:pPr>
              <w:keepNext/>
              <w:spacing w:before="0" w:after="0"/>
              <w:jc w:val="center"/>
            </w:pPr>
            <w:r>
              <w:t>KGJ</w:t>
            </w:r>
          </w:p>
        </w:tc>
      </w:tr>
      <w:tr w:rsidR="009D04F1" w:rsidTr="0086779E">
        <w:trPr>
          <w:trHeight w:val="397"/>
        </w:trPr>
        <w:tc>
          <w:tcPr>
            <w:tcW w:w="1242" w:type="dxa"/>
            <w:tcBorders>
              <w:top w:val="single" w:sz="4" w:space="0" w:color="auto"/>
            </w:tcBorders>
            <w:vAlign w:val="center"/>
          </w:tcPr>
          <w:p w:rsidR="009D04F1" w:rsidRPr="009D04F1" w:rsidRDefault="008626D5" w:rsidP="006152B4">
            <w:pPr>
              <w:keepNext/>
              <w:spacing w:before="0" w:after="0"/>
              <w:jc w:val="left"/>
            </w:pPr>
            <m:oMathPara>
              <m:oMathParaPr>
                <m:jc m:val="left"/>
              </m:oMathParaPr>
              <m:oMath>
                <m:sSub>
                  <m:sSubPr>
                    <m:ctrlPr>
                      <w:rPr>
                        <w:rFonts w:ascii="Cambria Math" w:hAnsi="Cambria Math"/>
                        <w:i/>
                        <w:vertAlign w:val="subscript"/>
                      </w:rPr>
                    </m:ctrlPr>
                  </m:sSubPr>
                  <m:e>
                    <m:r>
                      <w:rPr>
                        <w:rFonts w:ascii="Cambria Math" w:hAnsi="Cambria Math"/>
                      </w:rPr>
                      <m:t>f</m:t>
                    </m:r>
                    <m:ctrlPr>
                      <w:rPr>
                        <w:rFonts w:ascii="Cambria Math" w:hAnsi="Cambria Math"/>
                        <w:i/>
                      </w:rPr>
                    </m:ctrlPr>
                  </m:e>
                  <m:sub>
                    <m:r>
                      <w:rPr>
                        <w:rFonts w:ascii="Cambria Math" w:hAnsi="Cambria Math"/>
                        <w:vertAlign w:val="subscript"/>
                      </w:rPr>
                      <m:t>NOXM</m:t>
                    </m:r>
                  </m:sub>
                </m:sSub>
              </m:oMath>
            </m:oMathPara>
          </w:p>
        </w:tc>
        <w:tc>
          <w:tcPr>
            <w:tcW w:w="1560" w:type="dxa"/>
            <w:tcBorders>
              <w:top w:val="single" w:sz="4" w:space="0" w:color="auto"/>
            </w:tcBorders>
            <w:vAlign w:val="center"/>
          </w:tcPr>
          <w:p w:rsidR="009D04F1" w:rsidRPr="00A004AE" w:rsidRDefault="009D04F1" w:rsidP="006152B4">
            <w:pPr>
              <w:keepNext/>
              <w:spacing w:before="0" w:after="0"/>
              <w:jc w:val="center"/>
              <w:rPr>
                <w:rFonts w:eastAsia="Calibri" w:cs="Times New Roman"/>
                <w:i/>
              </w:rPr>
            </w:pPr>
            <m:oMathPara>
              <m:oMathParaPr>
                <m:jc m:val="center"/>
              </m:oMathParaPr>
              <m:oMath>
                <m:r>
                  <w:rPr>
                    <w:rFonts w:ascii="Cambria Math" w:hAnsi="Cambria Math"/>
                    <w:vertAlign w:val="subscript"/>
                  </w:rPr>
                  <m:t>[mg·</m:t>
                </m:r>
                <m:sSup>
                  <m:sSupPr>
                    <m:ctrlPr>
                      <w:rPr>
                        <w:rFonts w:ascii="Cambria Math" w:hAnsi="Cambria Math"/>
                        <w:i/>
                        <w:vertAlign w:val="subscript"/>
                        <w:lang w:val="en-US"/>
                      </w:rPr>
                    </m:ctrlPr>
                  </m:sSupPr>
                  <m:e>
                    <m:r>
                      <w:rPr>
                        <w:rFonts w:ascii="Cambria Math" w:hAnsi="Cambria Math"/>
                        <w:vertAlign w:val="subscript"/>
                      </w:rPr>
                      <m:t>m</m:t>
                    </m:r>
                    <m:ctrlPr>
                      <w:rPr>
                        <w:rFonts w:ascii="Cambria Math" w:hAnsi="Cambria Math"/>
                        <w:i/>
                        <w:vertAlign w:val="subscript"/>
                      </w:rPr>
                    </m:ctrlPr>
                  </m:e>
                  <m:sup>
                    <m:r>
                      <w:rPr>
                        <w:rFonts w:ascii="Cambria Math" w:hAnsi="Cambria Math"/>
                        <w:vertAlign w:val="subscript"/>
                      </w:rPr>
                      <m:t>-3</m:t>
                    </m:r>
                  </m:sup>
                </m:sSup>
                <m:r>
                  <w:rPr>
                    <w:rFonts w:ascii="Cambria Math" w:hAnsi="Cambria Math"/>
                    <w:vertAlign w:val="subscript"/>
                  </w:rPr>
                  <m:t>]</m:t>
                </m:r>
              </m:oMath>
            </m:oMathPara>
          </w:p>
        </w:tc>
        <w:tc>
          <w:tcPr>
            <w:tcW w:w="3243" w:type="dxa"/>
            <w:tcBorders>
              <w:top w:val="single" w:sz="4" w:space="0" w:color="auto"/>
            </w:tcBorders>
            <w:vAlign w:val="center"/>
          </w:tcPr>
          <w:p w:rsidR="009D04F1" w:rsidRDefault="009D04F1" w:rsidP="0086779E">
            <w:pPr>
              <w:keepNext/>
              <w:spacing w:before="0" w:after="0"/>
              <w:jc w:val="center"/>
            </w:pPr>
            <w:r>
              <w:t>8</w:t>
            </w:r>
            <w:r w:rsidR="0086779E">
              <w:t>7</w:t>
            </w:r>
            <w:r>
              <w:t>,2</w:t>
            </w:r>
          </w:p>
        </w:tc>
        <w:tc>
          <w:tcPr>
            <w:tcW w:w="3243" w:type="dxa"/>
            <w:tcBorders>
              <w:top w:val="single" w:sz="4" w:space="0" w:color="auto"/>
            </w:tcBorders>
            <w:shd w:val="clear" w:color="auto" w:fill="auto"/>
            <w:vAlign w:val="center"/>
          </w:tcPr>
          <w:p w:rsidR="009D04F1" w:rsidRPr="0086779E" w:rsidRDefault="009D04F1" w:rsidP="006152B4">
            <w:pPr>
              <w:keepNext/>
              <w:spacing w:before="0" w:after="0"/>
              <w:jc w:val="center"/>
            </w:pPr>
            <w:r w:rsidRPr="0086779E">
              <w:t>40</w:t>
            </w:r>
          </w:p>
        </w:tc>
      </w:tr>
      <w:tr w:rsidR="009D04F1" w:rsidTr="0086779E">
        <w:trPr>
          <w:trHeight w:val="397"/>
        </w:trPr>
        <w:tc>
          <w:tcPr>
            <w:tcW w:w="1242" w:type="dxa"/>
            <w:vAlign w:val="center"/>
          </w:tcPr>
          <w:p w:rsidR="009D04F1" w:rsidRPr="009D04F1" w:rsidRDefault="008626D5" w:rsidP="006152B4">
            <w:pPr>
              <w:keepNext/>
              <w:spacing w:before="0" w:after="0"/>
              <w:jc w:val="left"/>
            </w:pPr>
            <m:oMathPara>
              <m:oMathParaPr>
                <m:jc m:val="left"/>
              </m:oMathParaPr>
              <m:oMath>
                <m:sSub>
                  <m:sSubPr>
                    <m:ctrlPr>
                      <w:rPr>
                        <w:rFonts w:ascii="Cambria Math" w:hAnsi="Cambria Math"/>
                        <w:i/>
                        <w:vertAlign w:val="subscript"/>
                      </w:rPr>
                    </m:ctrlPr>
                  </m:sSubPr>
                  <m:e>
                    <m:r>
                      <w:rPr>
                        <w:rFonts w:ascii="Cambria Math" w:hAnsi="Cambria Math"/>
                      </w:rPr>
                      <m:t>f</m:t>
                    </m:r>
                    <m:ctrlPr>
                      <w:rPr>
                        <w:rFonts w:ascii="Cambria Math" w:hAnsi="Cambria Math"/>
                        <w:i/>
                      </w:rPr>
                    </m:ctrlPr>
                  </m:e>
                  <m:sub>
                    <m:r>
                      <w:rPr>
                        <w:rFonts w:ascii="Cambria Math" w:hAnsi="Cambria Math"/>
                        <w:vertAlign w:val="subscript"/>
                      </w:rPr>
                      <m:t>NOX</m:t>
                    </m:r>
                  </m:sub>
                </m:sSub>
              </m:oMath>
            </m:oMathPara>
          </w:p>
        </w:tc>
        <w:tc>
          <w:tcPr>
            <w:tcW w:w="1560" w:type="dxa"/>
            <w:vAlign w:val="center"/>
          </w:tcPr>
          <w:p w:rsidR="009D04F1" w:rsidRDefault="009D04F1" w:rsidP="006152B4">
            <w:pPr>
              <w:keepNext/>
              <w:spacing w:before="0" w:after="0"/>
              <w:jc w:val="center"/>
            </w:pPr>
            <m:oMathPara>
              <m:oMath>
                <m:r>
                  <w:rPr>
                    <w:rFonts w:ascii="Cambria Math" w:hAnsi="Cambria Math"/>
                    <w:vertAlign w:val="subscript"/>
                  </w:rPr>
                  <m:t>[–]</m:t>
                </m:r>
              </m:oMath>
            </m:oMathPara>
          </w:p>
        </w:tc>
        <w:tc>
          <w:tcPr>
            <w:tcW w:w="3243" w:type="dxa"/>
            <w:vAlign w:val="center"/>
          </w:tcPr>
          <w:p w:rsidR="009D04F1" w:rsidRPr="009D04F1" w:rsidRDefault="0086779E" w:rsidP="006152B4">
            <w:pPr>
              <w:keepNext/>
              <w:spacing w:before="0" w:after="0"/>
              <w:jc w:val="center"/>
            </w:pPr>
            <w:r>
              <w:t>4,25</w:t>
            </w:r>
            <w:r w:rsidR="009D04F1">
              <w:t>·10</w:t>
            </w:r>
            <w:r w:rsidR="009D04F1" w:rsidRPr="009D04F1">
              <w:rPr>
                <w:vertAlign w:val="superscript"/>
              </w:rPr>
              <w:t>-5</w:t>
            </w:r>
          </w:p>
        </w:tc>
        <w:tc>
          <w:tcPr>
            <w:tcW w:w="3243" w:type="dxa"/>
            <w:shd w:val="clear" w:color="auto" w:fill="auto"/>
            <w:vAlign w:val="center"/>
          </w:tcPr>
          <w:p w:rsidR="009D04F1" w:rsidRPr="0086779E" w:rsidRDefault="009D04F1" w:rsidP="006152B4">
            <w:pPr>
              <w:keepNext/>
              <w:spacing w:before="0" w:after="0"/>
              <w:jc w:val="center"/>
              <w:rPr>
                <w:lang w:val="en-US"/>
              </w:rPr>
            </w:pPr>
            <w:r w:rsidRPr="0086779E">
              <w:t>1,95·10</w:t>
            </w:r>
            <w:r w:rsidRPr="0086779E">
              <w:rPr>
                <w:vertAlign w:val="superscript"/>
                <w:lang w:val="en-US"/>
              </w:rPr>
              <w:t>-5</w:t>
            </w:r>
          </w:p>
        </w:tc>
      </w:tr>
      <w:tr w:rsidR="009D04F1" w:rsidTr="0086779E">
        <w:trPr>
          <w:trHeight w:val="397"/>
        </w:trPr>
        <w:tc>
          <w:tcPr>
            <w:tcW w:w="1242" w:type="dxa"/>
            <w:vAlign w:val="center"/>
          </w:tcPr>
          <w:p w:rsidR="009D04F1" w:rsidRPr="009D04F1" w:rsidRDefault="008626D5" w:rsidP="006152B4">
            <w:pPr>
              <w:keepNext/>
              <w:spacing w:before="0" w:after="0"/>
              <w:jc w:val="left"/>
            </w:pPr>
            <m:oMathPara>
              <m:oMathParaPr>
                <m:jc m:val="left"/>
              </m:oMathParaPr>
              <m:oMath>
                <m:sSub>
                  <m:sSubPr>
                    <m:ctrlPr>
                      <w:rPr>
                        <w:rFonts w:ascii="Cambria Math" w:hAnsi="Cambria Math"/>
                        <w:i/>
                        <w:vertAlign w:val="subscript"/>
                      </w:rPr>
                    </m:ctrlPr>
                  </m:sSubPr>
                  <m:e>
                    <m:r>
                      <w:rPr>
                        <w:rFonts w:ascii="Cambria Math" w:hAnsi="Cambria Math"/>
                        <w:vertAlign w:val="subscript"/>
                      </w:rPr>
                      <m:t>V</m:t>
                    </m:r>
                    <m:ctrlPr>
                      <w:rPr>
                        <w:rFonts w:ascii="Cambria Math" w:hAnsi="Cambria Math"/>
                        <w:i/>
                      </w:rPr>
                    </m:ctrlPr>
                  </m:e>
                  <m:sub>
                    <m:r>
                      <w:rPr>
                        <w:rFonts w:ascii="Cambria Math" w:hAnsi="Cambria Math"/>
                        <w:vertAlign w:val="subscript"/>
                      </w:rPr>
                      <m:t>NOX</m:t>
                    </m:r>
                  </m:sub>
                </m:sSub>
              </m:oMath>
            </m:oMathPara>
          </w:p>
        </w:tc>
        <w:tc>
          <w:tcPr>
            <w:tcW w:w="1560" w:type="dxa"/>
            <w:vAlign w:val="center"/>
          </w:tcPr>
          <w:p w:rsidR="009D04F1" w:rsidRPr="00A004AE" w:rsidRDefault="009D04F1" w:rsidP="006152B4">
            <w:pPr>
              <w:keepNext/>
              <w:spacing w:before="0" w:after="0"/>
              <w:jc w:val="center"/>
              <w:rPr>
                <w:rFonts w:eastAsia="Calibri" w:cs="Times New Roman"/>
                <w:i/>
              </w:rPr>
            </w:pPr>
            <m:oMathPara>
              <m:oMathParaPr>
                <m:jc m:val="center"/>
              </m:oMathParaPr>
              <m:oMath>
                <m:r>
                  <w:rPr>
                    <w:rFonts w:ascii="Cambria Math" w:hAnsi="Cambria Math"/>
                    <w:vertAlign w:val="subscript"/>
                  </w:rPr>
                  <m:t>[</m:t>
                </m:r>
                <m:sSup>
                  <m:sSupPr>
                    <m:ctrlPr>
                      <w:rPr>
                        <w:rFonts w:ascii="Cambria Math" w:hAnsi="Cambria Math"/>
                        <w:i/>
                        <w:vertAlign w:val="subscript"/>
                        <w:lang w:val="en-US"/>
                      </w:rPr>
                    </m:ctrlPr>
                  </m:sSupPr>
                  <m:e>
                    <m:r>
                      <w:rPr>
                        <w:rFonts w:ascii="Cambria Math" w:hAnsi="Cambria Math"/>
                        <w:vertAlign w:val="subscript"/>
                        <w:lang w:val="en-US"/>
                      </w:rPr>
                      <m:t>m</m:t>
                    </m:r>
                  </m:e>
                  <m:sup>
                    <m:r>
                      <w:rPr>
                        <w:rFonts w:ascii="Cambria Math" w:hAnsi="Cambria Math"/>
                        <w:vertAlign w:val="subscript"/>
                        <w:lang w:val="en-US"/>
                      </w:rPr>
                      <m:t>3</m:t>
                    </m:r>
                  </m:sup>
                </m:sSup>
                <m:r>
                  <w:rPr>
                    <w:rFonts w:ascii="Cambria Math" w:eastAsiaTheme="minorEastAsia" w:hAnsi="Cambria Math"/>
                    <w:vertAlign w:val="subscript"/>
                    <w:lang w:val="en-US"/>
                  </w:rPr>
                  <m:t>·</m:t>
                </m:r>
                <m:sSubSup>
                  <m:sSubSupPr>
                    <m:ctrlPr>
                      <w:rPr>
                        <w:rFonts w:ascii="Cambria Math" w:eastAsiaTheme="minorEastAsia" w:hAnsi="Cambria Math"/>
                        <w:i/>
                        <w:vertAlign w:val="subscript"/>
                      </w:rPr>
                    </m:ctrlPr>
                  </m:sSubSupPr>
                  <m:e>
                    <m:r>
                      <w:rPr>
                        <w:rFonts w:ascii="Cambria Math" w:eastAsiaTheme="minorEastAsia" w:hAnsi="Cambria Math"/>
                        <w:vertAlign w:val="subscript"/>
                        <w:lang w:val="en-US"/>
                      </w:rPr>
                      <m:t>m</m:t>
                    </m:r>
                    <m:ctrlPr>
                      <w:rPr>
                        <w:rFonts w:ascii="Cambria Math" w:eastAsiaTheme="minorEastAsia" w:hAnsi="Cambria Math"/>
                        <w:i/>
                        <w:vertAlign w:val="subscript"/>
                        <w:lang w:val="en-US"/>
                      </w:rPr>
                    </m:ctrlPr>
                  </m:e>
                  <m:sub>
                    <m:r>
                      <w:rPr>
                        <w:rFonts w:ascii="Cambria Math" w:eastAsiaTheme="minorEastAsia" w:hAnsi="Cambria Math"/>
                        <w:vertAlign w:val="subscript"/>
                      </w:rPr>
                      <m:t>ZP</m:t>
                    </m:r>
                    <m:ctrlPr>
                      <w:rPr>
                        <w:rFonts w:ascii="Cambria Math" w:eastAsiaTheme="minorEastAsia" w:hAnsi="Cambria Math"/>
                        <w:i/>
                        <w:vertAlign w:val="subscript"/>
                        <w:lang w:val="en-US"/>
                      </w:rPr>
                    </m:ctrlPr>
                  </m:sub>
                  <m:sup>
                    <m:r>
                      <w:rPr>
                        <w:rFonts w:ascii="Cambria Math" w:eastAsiaTheme="minorEastAsia" w:hAnsi="Cambria Math"/>
                        <w:vertAlign w:val="subscript"/>
                      </w:rPr>
                      <m:t>-3</m:t>
                    </m:r>
                  </m:sup>
                </m:sSubSup>
                <m:r>
                  <w:rPr>
                    <w:rFonts w:ascii="Cambria Math" w:hAnsi="Cambria Math"/>
                    <w:vertAlign w:val="subscript"/>
                  </w:rPr>
                  <m:t>]</m:t>
                </m:r>
              </m:oMath>
            </m:oMathPara>
          </w:p>
        </w:tc>
        <w:tc>
          <w:tcPr>
            <w:tcW w:w="3243" w:type="dxa"/>
            <w:vAlign w:val="center"/>
          </w:tcPr>
          <w:p w:rsidR="009D04F1" w:rsidRPr="009D04F1" w:rsidRDefault="0086779E" w:rsidP="006152B4">
            <w:pPr>
              <w:keepNext/>
              <w:spacing w:before="0" w:after="0"/>
              <w:jc w:val="center"/>
            </w:pPr>
            <w:r>
              <w:t>4,23</w:t>
            </w:r>
            <w:r w:rsidR="009D04F1">
              <w:t>·10</w:t>
            </w:r>
            <w:r w:rsidR="009D04F1" w:rsidRPr="009D04F1">
              <w:rPr>
                <w:vertAlign w:val="superscript"/>
                <w:lang w:val="en-US"/>
              </w:rPr>
              <w:t>-4</w:t>
            </w:r>
          </w:p>
        </w:tc>
        <w:tc>
          <w:tcPr>
            <w:tcW w:w="3243" w:type="dxa"/>
            <w:shd w:val="clear" w:color="auto" w:fill="auto"/>
            <w:vAlign w:val="center"/>
          </w:tcPr>
          <w:p w:rsidR="009D04F1" w:rsidRPr="0086779E" w:rsidRDefault="009D04F1" w:rsidP="006152B4">
            <w:pPr>
              <w:keepNext/>
              <w:spacing w:before="0" w:after="0"/>
              <w:jc w:val="center"/>
            </w:pPr>
            <w:r w:rsidRPr="0086779E">
              <w:t>2,24·10</w:t>
            </w:r>
            <w:r w:rsidRPr="0086779E">
              <w:rPr>
                <w:vertAlign w:val="superscript"/>
              </w:rPr>
              <w:t>-4</w:t>
            </w:r>
          </w:p>
        </w:tc>
      </w:tr>
      <w:tr w:rsidR="009D04F1" w:rsidTr="0086779E">
        <w:trPr>
          <w:trHeight w:val="397"/>
        </w:trPr>
        <w:tc>
          <w:tcPr>
            <w:tcW w:w="1242" w:type="dxa"/>
            <w:vAlign w:val="center"/>
          </w:tcPr>
          <w:p w:rsidR="009D04F1" w:rsidRPr="00C24208" w:rsidRDefault="008626D5" w:rsidP="006152B4">
            <w:pPr>
              <w:keepNext/>
              <w:spacing w:before="0" w:after="0"/>
              <w:jc w:val="left"/>
              <w:rPr>
                <w:rFonts w:eastAsia="Calibri" w:cs="Times New Roman"/>
              </w:rPr>
            </w:pPr>
            <m:oMathPara>
              <m:oMathParaPr>
                <m:jc m:val="left"/>
              </m:oMathParaPr>
              <m:oMath>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NOXE</m:t>
                    </m:r>
                  </m:sub>
                </m:sSub>
              </m:oMath>
            </m:oMathPara>
          </w:p>
        </w:tc>
        <w:tc>
          <w:tcPr>
            <w:tcW w:w="1560" w:type="dxa"/>
            <w:vAlign w:val="center"/>
          </w:tcPr>
          <w:p w:rsidR="009D04F1" w:rsidRPr="00A004AE" w:rsidRDefault="009D04F1" w:rsidP="006152B4">
            <w:pPr>
              <w:keepNext/>
              <w:spacing w:before="0" w:after="0"/>
              <w:jc w:val="center"/>
              <w:rPr>
                <w:rFonts w:eastAsia="Calibri" w:cs="Times New Roman"/>
                <w:i/>
              </w:rPr>
            </w:pPr>
            <m:oMathPara>
              <m:oMathParaPr>
                <m:jc m:val="center"/>
              </m:oMathParaPr>
              <m:oMath>
                <m:r>
                  <w:rPr>
                    <w:rFonts w:ascii="Cambria Math" w:hAnsi="Cambria Math"/>
                    <w:vertAlign w:val="subscript"/>
                  </w:rPr>
                  <m:t>[</m:t>
                </m:r>
                <m:r>
                  <w:rPr>
                    <w:rFonts w:ascii="Cambria Math" w:eastAsiaTheme="minorEastAsia" w:hAnsi="Cambria Math"/>
                    <w:vertAlign w:val="subscript"/>
                    <w:lang w:val="en-US"/>
                  </w:rPr>
                  <m:t>kg·kW</m:t>
                </m:r>
                <m:sSup>
                  <m:sSupPr>
                    <m:ctrlPr>
                      <w:rPr>
                        <w:rFonts w:ascii="Cambria Math" w:eastAsiaTheme="minorEastAsia" w:hAnsi="Cambria Math"/>
                        <w:i/>
                        <w:vertAlign w:val="subscript"/>
                        <w:lang w:val="en-US"/>
                      </w:rPr>
                    </m:ctrlPr>
                  </m:sSupPr>
                  <m:e>
                    <m:r>
                      <w:rPr>
                        <w:rFonts w:ascii="Cambria Math" w:eastAsiaTheme="minorEastAsia" w:hAnsi="Cambria Math"/>
                        <w:vertAlign w:val="subscript"/>
                        <w:lang w:val="en-US"/>
                      </w:rPr>
                      <m:t>h</m:t>
                    </m:r>
                  </m:e>
                  <m:sup>
                    <m:r>
                      <w:rPr>
                        <w:rFonts w:ascii="Cambria Math" w:eastAsiaTheme="minorEastAsia" w:hAnsi="Cambria Math"/>
                        <w:vertAlign w:val="subscript"/>
                        <w:lang w:val="en-US"/>
                      </w:rPr>
                      <m:t>-1</m:t>
                    </m:r>
                  </m:sup>
                </m:sSup>
                <m:r>
                  <w:rPr>
                    <w:rFonts w:ascii="Cambria Math" w:hAnsi="Cambria Math"/>
                    <w:vertAlign w:val="subscript"/>
                  </w:rPr>
                  <m:t>]</m:t>
                </m:r>
              </m:oMath>
            </m:oMathPara>
          </w:p>
        </w:tc>
        <w:tc>
          <w:tcPr>
            <w:tcW w:w="3243" w:type="dxa"/>
            <w:vAlign w:val="center"/>
          </w:tcPr>
          <w:p w:rsidR="009D04F1" w:rsidRDefault="0086779E" w:rsidP="006152B4">
            <w:pPr>
              <w:keepNext/>
              <w:spacing w:before="0" w:after="0"/>
              <w:jc w:val="center"/>
            </w:pPr>
            <w:r>
              <w:t>7,89</w:t>
            </w:r>
            <w:r w:rsidR="009D04F1">
              <w:t>·10</w:t>
            </w:r>
            <w:r w:rsidR="009D04F1" w:rsidRPr="009D04F1">
              <w:rPr>
                <w:vertAlign w:val="superscript"/>
              </w:rPr>
              <w:t>-5</w:t>
            </w:r>
          </w:p>
        </w:tc>
        <w:tc>
          <w:tcPr>
            <w:tcW w:w="3243" w:type="dxa"/>
            <w:shd w:val="clear" w:color="auto" w:fill="auto"/>
            <w:vAlign w:val="center"/>
          </w:tcPr>
          <w:p w:rsidR="009D04F1" w:rsidRPr="0086779E" w:rsidRDefault="00566338" w:rsidP="006152B4">
            <w:pPr>
              <w:keepNext/>
              <w:spacing w:before="0" w:after="0"/>
              <w:jc w:val="center"/>
            </w:pPr>
            <w:r w:rsidRPr="0086779E">
              <w:t>4,18·10</w:t>
            </w:r>
            <w:r w:rsidRPr="0086779E">
              <w:rPr>
                <w:vertAlign w:val="superscript"/>
              </w:rPr>
              <w:t>-5</w:t>
            </w:r>
          </w:p>
        </w:tc>
      </w:tr>
      <w:tr w:rsidR="009D04F1" w:rsidTr="0086779E">
        <w:trPr>
          <w:trHeight w:val="397"/>
        </w:trPr>
        <w:tc>
          <w:tcPr>
            <w:tcW w:w="1242" w:type="dxa"/>
            <w:vAlign w:val="center"/>
          </w:tcPr>
          <w:p w:rsidR="009D04F1" w:rsidRPr="00566338" w:rsidRDefault="008626D5" w:rsidP="00511836">
            <w:pPr>
              <w:spacing w:before="0" w:after="0"/>
              <w:jc w:val="left"/>
              <w:rPr>
                <w:b/>
              </w:rPr>
            </w:pPr>
            <m:oMathPara>
              <m:oMathParaPr>
                <m:jc m:val="left"/>
              </m:oMathParaPr>
              <m:oMath>
                <m:sSub>
                  <m:sSubPr>
                    <m:ctrlPr>
                      <w:rPr>
                        <w:rFonts w:ascii="Cambria Math" w:hAnsi="Cambria Math"/>
                        <w:b/>
                        <w:i/>
                        <w:vertAlign w:val="subscript"/>
                      </w:rPr>
                    </m:ctrlPr>
                  </m:sSubPr>
                  <m:e>
                    <m:r>
                      <m:rPr>
                        <m:sty m:val="bi"/>
                      </m:rPr>
                      <w:rPr>
                        <w:rFonts w:ascii="Cambria Math" w:hAnsi="Cambria Math"/>
                        <w:vertAlign w:val="subscript"/>
                      </w:rPr>
                      <m:t>m</m:t>
                    </m:r>
                  </m:e>
                  <m:sub>
                    <m:r>
                      <m:rPr>
                        <m:sty m:val="bi"/>
                      </m:rPr>
                      <w:rPr>
                        <w:rFonts w:ascii="Cambria Math" w:hAnsi="Cambria Math"/>
                        <w:vertAlign w:val="subscript"/>
                      </w:rPr>
                      <m:t>NOXEtep</m:t>
                    </m:r>
                  </m:sub>
                </m:sSub>
              </m:oMath>
            </m:oMathPara>
          </w:p>
        </w:tc>
        <w:tc>
          <w:tcPr>
            <w:tcW w:w="1560" w:type="dxa"/>
            <w:vAlign w:val="center"/>
          </w:tcPr>
          <w:p w:rsidR="009D04F1" w:rsidRPr="00566338" w:rsidRDefault="00566338" w:rsidP="00511836">
            <w:pPr>
              <w:spacing w:before="0" w:after="0"/>
              <w:jc w:val="center"/>
              <w:rPr>
                <w:rFonts w:eastAsia="Calibri" w:cs="Times New Roman"/>
                <w:b/>
                <w:i/>
              </w:rPr>
            </w:pPr>
            <m:oMathPara>
              <m:oMathParaPr>
                <m:jc m:val="center"/>
              </m:oMathParaPr>
              <m:oMath>
                <m:r>
                  <m:rPr>
                    <m:sty m:val="bi"/>
                  </m:rPr>
                  <w:rPr>
                    <w:rFonts w:ascii="Cambria Math" w:hAnsi="Cambria Math"/>
                    <w:vertAlign w:val="subscript"/>
                  </w:rPr>
                  <m:t>[</m:t>
                </m:r>
                <m:r>
                  <m:rPr>
                    <m:sty m:val="bi"/>
                  </m:rPr>
                  <w:rPr>
                    <w:rFonts w:ascii="Cambria Math" w:eastAsiaTheme="minorEastAsia" w:hAnsi="Cambria Math"/>
                    <w:vertAlign w:val="subscript"/>
                    <w:lang w:val="en-US"/>
                  </w:rPr>
                  <m:t>g·MW</m:t>
                </m:r>
                <m:sSubSup>
                  <m:sSubSupPr>
                    <m:ctrlPr>
                      <w:rPr>
                        <w:rFonts w:ascii="Cambria Math" w:eastAsiaTheme="minorEastAsia" w:hAnsi="Cambria Math"/>
                        <w:b/>
                        <w:i/>
                        <w:vertAlign w:val="subscript"/>
                        <w:lang w:val="en-US"/>
                      </w:rPr>
                    </m:ctrlPr>
                  </m:sSubSupPr>
                  <m:e>
                    <m:r>
                      <m:rPr>
                        <m:sty m:val="bi"/>
                      </m:rPr>
                      <w:rPr>
                        <w:rFonts w:ascii="Cambria Math" w:eastAsiaTheme="minorEastAsia" w:hAnsi="Cambria Math"/>
                        <w:vertAlign w:val="subscript"/>
                        <w:lang w:val="en-US"/>
                      </w:rPr>
                      <m:t>h</m:t>
                    </m:r>
                  </m:e>
                  <m:sub>
                    <m:r>
                      <m:rPr>
                        <m:sty m:val="bi"/>
                      </m:rPr>
                      <w:rPr>
                        <w:rFonts w:ascii="Cambria Math" w:eastAsiaTheme="minorEastAsia" w:hAnsi="Cambria Math"/>
                        <w:vertAlign w:val="subscript"/>
                        <w:lang w:val="en-US"/>
                      </w:rPr>
                      <m:t>tep</m:t>
                    </m:r>
                  </m:sub>
                  <m:sup>
                    <m:r>
                      <m:rPr>
                        <m:sty m:val="bi"/>
                      </m:rPr>
                      <w:rPr>
                        <w:rFonts w:ascii="Cambria Math" w:eastAsiaTheme="minorEastAsia" w:hAnsi="Cambria Math"/>
                        <w:vertAlign w:val="subscript"/>
                        <w:lang w:val="en-US"/>
                      </w:rPr>
                      <m:t>-1</m:t>
                    </m:r>
                  </m:sup>
                </m:sSubSup>
                <m:r>
                  <m:rPr>
                    <m:sty m:val="bi"/>
                  </m:rPr>
                  <w:rPr>
                    <w:rFonts w:ascii="Cambria Math" w:hAnsi="Cambria Math"/>
                    <w:vertAlign w:val="subscript"/>
                  </w:rPr>
                  <m:t>]</m:t>
                </m:r>
              </m:oMath>
            </m:oMathPara>
          </w:p>
        </w:tc>
        <w:tc>
          <w:tcPr>
            <w:tcW w:w="3243" w:type="dxa"/>
            <w:vAlign w:val="center"/>
          </w:tcPr>
          <w:p w:rsidR="009D04F1" w:rsidRPr="00566338" w:rsidRDefault="0086779E" w:rsidP="00511836">
            <w:pPr>
              <w:spacing w:before="0" w:after="0"/>
              <w:jc w:val="center"/>
              <w:rPr>
                <w:b/>
              </w:rPr>
            </w:pPr>
            <w:r>
              <w:rPr>
                <w:b/>
              </w:rPr>
              <w:t>85,7</w:t>
            </w:r>
          </w:p>
        </w:tc>
        <w:tc>
          <w:tcPr>
            <w:tcW w:w="3243" w:type="dxa"/>
            <w:shd w:val="clear" w:color="auto" w:fill="auto"/>
            <w:vAlign w:val="center"/>
          </w:tcPr>
          <w:p w:rsidR="009D04F1" w:rsidRPr="0086779E" w:rsidRDefault="00566338" w:rsidP="00511836">
            <w:pPr>
              <w:spacing w:before="0" w:after="0"/>
              <w:jc w:val="center"/>
              <w:rPr>
                <w:b/>
              </w:rPr>
            </w:pPr>
            <w:r w:rsidRPr="0086779E">
              <w:rPr>
                <w:b/>
              </w:rPr>
              <w:t>74,3</w:t>
            </w:r>
          </w:p>
        </w:tc>
      </w:tr>
    </w:tbl>
    <w:p w:rsidR="002D2992" w:rsidRDefault="00566338" w:rsidP="004C23D6">
      <w:pPr>
        <w:rPr>
          <w:i/>
        </w:rPr>
      </w:pPr>
      <w:r w:rsidRPr="00377098">
        <w:rPr>
          <w:i/>
        </w:rPr>
        <w:t>Závěr: Z uvedeného výpočtu je zřejmé, že nízkoemisní kogenerační jednotka vyprodukuje při výrobě 1 MWh tepelné energie nižší množství NO</w:t>
      </w:r>
      <w:r w:rsidRPr="00377098">
        <w:rPr>
          <w:i/>
          <w:vertAlign w:val="subscript"/>
        </w:rPr>
        <w:t>X</w:t>
      </w:r>
      <w:r w:rsidRPr="00377098">
        <w:rPr>
          <w:i/>
        </w:rPr>
        <w:t xml:space="preserve"> než stávající </w:t>
      </w:r>
      <w:r w:rsidR="0057264C">
        <w:rPr>
          <w:i/>
        </w:rPr>
        <w:t>kotel</w:t>
      </w:r>
      <w:r w:rsidRPr="00377098">
        <w:rPr>
          <w:i/>
        </w:rPr>
        <w:t xml:space="preserve"> (K2).</w:t>
      </w:r>
      <w:r w:rsidR="00377098" w:rsidRPr="00377098">
        <w:rPr>
          <w:i/>
        </w:rPr>
        <w:t xml:space="preserve"> Nedojde tedy k překročení emisního stropu dle čl. V. (1) Metodického pokynu k povolování kogeneračních jednotek na území hl. m. Prahy.</w:t>
      </w:r>
    </w:p>
    <w:p w:rsidR="0057264C" w:rsidRDefault="0057264C" w:rsidP="0057264C">
      <w:r>
        <w:t xml:space="preserve">Vzniklá </w:t>
      </w:r>
      <w:r w:rsidR="00F62A76">
        <w:t xml:space="preserve">roční </w:t>
      </w:r>
      <w:r>
        <w:t>emisní rezerva</w:t>
      </w:r>
      <w:r w:rsidR="00F62A76">
        <w:t xml:space="preserve"> po instalaci KGJ</w:t>
      </w:r>
      <w:r>
        <w:t xml:space="preserve"> </w:t>
      </w:r>
      <w:r w:rsidR="00F62A76">
        <w:t>je následující (vztaženo k emisím kotle K2):</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1418"/>
        <w:gridCol w:w="5528"/>
        <w:gridCol w:w="1024"/>
      </w:tblGrid>
      <w:tr w:rsidR="00F62A76" w:rsidTr="008C750F">
        <w:tc>
          <w:tcPr>
            <w:tcW w:w="8188" w:type="dxa"/>
            <w:gridSpan w:val="3"/>
          </w:tcPr>
          <w:p w:rsidR="00F62A76" w:rsidRPr="00C24208" w:rsidRDefault="008626D5" w:rsidP="002D766E">
            <w:pPr>
              <w:keepNext/>
            </w:pPr>
            <m:oMathPara>
              <m:oMathParaPr>
                <m:jc m:val="left"/>
              </m:oMathParaPr>
              <m:oMath>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REZ</m:t>
                    </m:r>
                  </m:sub>
                </m:sSub>
                <m:r>
                  <w:rPr>
                    <w:rFonts w:ascii="Cambria Math" w:hAnsi="Cambria Math"/>
                    <w:vertAlign w:val="subscript"/>
                  </w:rPr>
                  <m:t xml:space="preserve">= </m:t>
                </m:r>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NOXEtepKGJ</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NOXEtepK2</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P</m:t>
                    </m:r>
                  </m:e>
                  <m:sub>
                    <m:r>
                      <w:rPr>
                        <w:rFonts w:ascii="Cambria Math" w:hAnsi="Cambria Math"/>
                        <w:vertAlign w:val="subscript"/>
                      </w:rPr>
                      <m:t>tep</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τ</m:t>
                    </m:r>
                  </m:e>
                  <m:sub>
                    <m:r>
                      <w:rPr>
                        <w:rFonts w:ascii="Cambria Math" w:hAnsi="Cambria Math"/>
                        <w:vertAlign w:val="subscript"/>
                      </w:rPr>
                      <m:t>KGJ</m:t>
                    </m:r>
                  </m:sub>
                </m:sSub>
                <m:r>
                  <w:rPr>
                    <w:rFonts w:ascii="Cambria Math" w:hAnsi="Cambria Math"/>
                    <w:vertAlign w:val="subscript"/>
                  </w:rPr>
                  <m:t>=(85,7-74,3)·0,39·3000=13388 g=13,4 kg</m:t>
                </m:r>
              </m:oMath>
            </m:oMathPara>
          </w:p>
        </w:tc>
        <w:tc>
          <w:tcPr>
            <w:tcW w:w="1024" w:type="dxa"/>
          </w:tcPr>
          <w:p w:rsidR="00F62A76" w:rsidRDefault="00F62A76" w:rsidP="008C750F">
            <w:pPr>
              <w:keepNext/>
            </w:pPr>
          </w:p>
        </w:tc>
      </w:tr>
      <w:tr w:rsidR="00F62A76" w:rsidTr="008C750F">
        <w:tc>
          <w:tcPr>
            <w:tcW w:w="8188" w:type="dxa"/>
            <w:gridSpan w:val="3"/>
          </w:tcPr>
          <w:p w:rsidR="00F62A76" w:rsidRPr="00C24208" w:rsidRDefault="00F62A76" w:rsidP="008C750F">
            <w:pPr>
              <w:keepNext/>
              <w:rPr>
                <w:rFonts w:eastAsia="Calibri" w:cs="Times New Roman"/>
              </w:rPr>
            </w:pPr>
            <w:r>
              <w:rPr>
                <w:rFonts w:eastAsia="Calibri" w:cs="Times New Roman"/>
              </w:rPr>
              <w:t>kde</w:t>
            </w:r>
          </w:p>
        </w:tc>
        <w:tc>
          <w:tcPr>
            <w:tcW w:w="1024" w:type="dxa"/>
          </w:tcPr>
          <w:p w:rsidR="00F62A76" w:rsidRDefault="00F62A76" w:rsidP="008C750F">
            <w:pPr>
              <w:keepNext/>
            </w:pPr>
          </w:p>
        </w:tc>
      </w:tr>
      <w:tr w:rsidR="002D766E" w:rsidTr="008C750F">
        <w:tc>
          <w:tcPr>
            <w:tcW w:w="1242" w:type="dxa"/>
          </w:tcPr>
          <w:p w:rsidR="002D766E" w:rsidRPr="002D766E" w:rsidRDefault="008626D5" w:rsidP="002D766E">
            <w:pPr>
              <w:keepNext/>
              <w:rPr>
                <w:rFonts w:eastAsia="Calibri" w:cs="Times New Roman"/>
              </w:rPr>
            </w:pPr>
            <m:oMathPara>
              <m:oMathParaPr>
                <m:jc m:val="left"/>
              </m:oMathParaPr>
              <m:oMath>
                <m:sSub>
                  <m:sSubPr>
                    <m:ctrlPr>
                      <w:rPr>
                        <w:rFonts w:ascii="Cambria Math" w:hAnsi="Cambria Math"/>
                        <w:i/>
                        <w:vertAlign w:val="subscript"/>
                      </w:rPr>
                    </m:ctrlPr>
                  </m:sSubPr>
                  <m:e>
                    <m:r>
                      <w:rPr>
                        <w:rFonts w:ascii="Cambria Math" w:hAnsi="Cambria Math"/>
                        <w:vertAlign w:val="subscript"/>
                      </w:rPr>
                      <m:t>m</m:t>
                    </m:r>
                  </m:e>
                  <m:sub>
                    <m:r>
                      <w:rPr>
                        <w:rFonts w:ascii="Cambria Math" w:hAnsi="Cambria Math"/>
                        <w:vertAlign w:val="subscript"/>
                      </w:rPr>
                      <m:t>REZ</m:t>
                    </m:r>
                  </m:sub>
                </m:sSub>
              </m:oMath>
            </m:oMathPara>
          </w:p>
        </w:tc>
        <w:tc>
          <w:tcPr>
            <w:tcW w:w="1418" w:type="dxa"/>
          </w:tcPr>
          <w:p w:rsidR="002D766E" w:rsidRPr="00A004AE" w:rsidRDefault="002D766E" w:rsidP="002D766E">
            <w:pPr>
              <w:keepNext/>
              <w:rPr>
                <w:rFonts w:eastAsia="Calibri" w:cs="Times New Roman"/>
                <w:i/>
              </w:rPr>
            </w:pPr>
            <m:oMathPara>
              <m:oMathParaPr>
                <m:jc m:val="center"/>
              </m:oMathParaPr>
              <m:oMath>
                <m:r>
                  <w:rPr>
                    <w:rFonts w:ascii="Cambria Math" w:hAnsi="Cambria Math"/>
                    <w:vertAlign w:val="subscript"/>
                  </w:rPr>
                  <m:t>[kg]</m:t>
                </m:r>
              </m:oMath>
            </m:oMathPara>
          </w:p>
        </w:tc>
        <w:tc>
          <w:tcPr>
            <w:tcW w:w="6552" w:type="dxa"/>
            <w:gridSpan w:val="2"/>
          </w:tcPr>
          <w:p w:rsidR="002D766E" w:rsidRDefault="002D766E" w:rsidP="002D766E">
            <w:pPr>
              <w:keepNext/>
            </w:pPr>
            <w:r>
              <w:t>roční emisní rezerva NO</w:t>
            </w:r>
            <w:r w:rsidRPr="002D766E">
              <w:rPr>
                <w:vertAlign w:val="subscript"/>
              </w:rPr>
              <w:t>X</w:t>
            </w:r>
            <w:r>
              <w:t xml:space="preserve"> po instalaci KGJ</w:t>
            </w:r>
          </w:p>
        </w:tc>
      </w:tr>
      <w:tr w:rsidR="002D766E" w:rsidTr="008C750F">
        <w:tc>
          <w:tcPr>
            <w:tcW w:w="1242" w:type="dxa"/>
          </w:tcPr>
          <w:p w:rsidR="002D766E" w:rsidRPr="00C24208" w:rsidRDefault="008626D5" w:rsidP="002D766E">
            <w:pPr>
              <w:keepNext/>
              <w:rPr>
                <w:rFonts w:eastAsia="Calibri" w:cs="Times New Roman"/>
              </w:rPr>
            </w:pPr>
            <m:oMathPara>
              <m:oMathParaPr>
                <m:jc m:val="left"/>
              </m:oMathParaPr>
              <m:oMath>
                <m:sSub>
                  <m:sSubPr>
                    <m:ctrlPr>
                      <w:rPr>
                        <w:rFonts w:ascii="Cambria Math" w:eastAsia="Calibri" w:hAnsi="Cambria Math" w:cs="Times New Roman"/>
                        <w:i/>
                      </w:rPr>
                    </m:ctrlPr>
                  </m:sSubPr>
                  <m:e>
                    <m:r>
                      <w:rPr>
                        <w:rFonts w:ascii="Cambria Math" w:eastAsia="Calibri" w:hAnsi="Cambria Math" w:cs="Times New Roman"/>
                      </w:rPr>
                      <m:t>P</m:t>
                    </m:r>
                  </m:e>
                  <m:sub>
                    <m:r>
                      <w:rPr>
                        <w:rFonts w:ascii="Cambria Math" w:eastAsia="Calibri" w:hAnsi="Cambria Math" w:cs="Times New Roman"/>
                      </w:rPr>
                      <m:t>tep</m:t>
                    </m:r>
                  </m:sub>
                </m:sSub>
              </m:oMath>
            </m:oMathPara>
          </w:p>
        </w:tc>
        <w:tc>
          <w:tcPr>
            <w:tcW w:w="1418" w:type="dxa"/>
          </w:tcPr>
          <w:p w:rsidR="002D766E" w:rsidRPr="00A004AE" w:rsidRDefault="002D766E" w:rsidP="002D766E">
            <w:pPr>
              <w:keepNext/>
              <w:rPr>
                <w:rFonts w:eastAsia="Calibri" w:cs="Times New Roman"/>
                <w:i/>
              </w:rPr>
            </w:pPr>
            <m:oMathPara>
              <m:oMathParaPr>
                <m:jc m:val="center"/>
              </m:oMathParaPr>
              <m:oMath>
                <m:r>
                  <w:rPr>
                    <w:rFonts w:ascii="Cambria Math" w:hAnsi="Cambria Math"/>
                    <w:vertAlign w:val="subscript"/>
                  </w:rPr>
                  <m:t>[M</m:t>
                </m:r>
                <m:sSub>
                  <m:sSubPr>
                    <m:ctrlPr>
                      <w:rPr>
                        <w:rFonts w:ascii="Cambria Math" w:hAnsi="Cambria Math"/>
                        <w:i/>
                        <w:vertAlign w:val="subscript"/>
                      </w:rPr>
                    </m:ctrlPr>
                  </m:sSubPr>
                  <m:e>
                    <m:r>
                      <w:rPr>
                        <w:rFonts w:ascii="Cambria Math" w:hAnsi="Cambria Math"/>
                        <w:vertAlign w:val="subscript"/>
                      </w:rPr>
                      <m:t>W</m:t>
                    </m:r>
                  </m:e>
                  <m:sub>
                    <m:r>
                      <w:rPr>
                        <w:rFonts w:ascii="Cambria Math" w:hAnsi="Cambria Math"/>
                        <w:vertAlign w:val="subscript"/>
                      </w:rPr>
                      <m:t>tep</m:t>
                    </m:r>
                  </m:sub>
                </m:sSub>
                <m:r>
                  <w:rPr>
                    <w:rFonts w:ascii="Cambria Math" w:hAnsi="Cambria Math"/>
                    <w:vertAlign w:val="subscript"/>
                  </w:rPr>
                  <m:t>]</m:t>
                </m:r>
              </m:oMath>
            </m:oMathPara>
          </w:p>
        </w:tc>
        <w:tc>
          <w:tcPr>
            <w:tcW w:w="6552" w:type="dxa"/>
            <w:gridSpan w:val="2"/>
          </w:tcPr>
          <w:p w:rsidR="002D766E" w:rsidRDefault="002D766E" w:rsidP="002D766E">
            <w:pPr>
              <w:keepNext/>
            </w:pPr>
            <w:r>
              <w:t>tepelný výkon navržené KGJ</w:t>
            </w:r>
          </w:p>
        </w:tc>
      </w:tr>
      <w:tr w:rsidR="002D766E" w:rsidTr="008C750F">
        <w:tc>
          <w:tcPr>
            <w:tcW w:w="1242" w:type="dxa"/>
          </w:tcPr>
          <w:p w:rsidR="002D766E" w:rsidRPr="00A004AE" w:rsidRDefault="008626D5" w:rsidP="002D766E">
            <w:pPr>
              <w:rPr>
                <w:rFonts w:eastAsia="Calibri" w:cs="Times New Roman"/>
                <w:vertAlign w:val="subscript"/>
              </w:rPr>
            </w:pPr>
            <m:oMathPara>
              <m:oMathParaPr>
                <m:jc m:val="left"/>
              </m:oMathParaPr>
              <m:oMath>
                <m:sSub>
                  <m:sSubPr>
                    <m:ctrlPr>
                      <w:rPr>
                        <w:rFonts w:ascii="Cambria Math" w:hAnsi="Cambria Math"/>
                        <w:i/>
                        <w:vertAlign w:val="subscript"/>
                      </w:rPr>
                    </m:ctrlPr>
                  </m:sSubPr>
                  <m:e>
                    <m:r>
                      <w:rPr>
                        <w:rFonts w:ascii="Cambria Math" w:hAnsi="Cambria Math"/>
                        <w:vertAlign w:val="subscript"/>
                      </w:rPr>
                      <m:t>ρ</m:t>
                    </m:r>
                  </m:e>
                  <m:sub>
                    <m:r>
                      <w:rPr>
                        <w:rFonts w:ascii="Cambria Math" w:hAnsi="Cambria Math"/>
                        <w:vertAlign w:val="subscript"/>
                      </w:rPr>
                      <m:t>NOX</m:t>
                    </m:r>
                  </m:sub>
                </m:sSub>
              </m:oMath>
            </m:oMathPara>
          </w:p>
        </w:tc>
        <w:tc>
          <w:tcPr>
            <w:tcW w:w="1418" w:type="dxa"/>
          </w:tcPr>
          <w:p w:rsidR="002D766E" w:rsidRPr="00A004AE" w:rsidRDefault="002D766E" w:rsidP="002D766E">
            <w:pPr>
              <w:rPr>
                <w:rFonts w:eastAsia="Calibri" w:cs="Times New Roman"/>
                <w:i/>
              </w:rPr>
            </w:pPr>
            <m:oMathPara>
              <m:oMathParaPr>
                <m:jc m:val="center"/>
              </m:oMathParaPr>
              <m:oMath>
                <m:r>
                  <w:rPr>
                    <w:rFonts w:ascii="Cambria Math" w:hAnsi="Cambria Math"/>
                    <w:vertAlign w:val="subscript"/>
                  </w:rPr>
                  <m:t>[kg·</m:t>
                </m:r>
                <m:sSup>
                  <m:sSupPr>
                    <m:ctrlPr>
                      <w:rPr>
                        <w:rFonts w:ascii="Cambria Math" w:hAnsi="Cambria Math"/>
                        <w:i/>
                        <w:vertAlign w:val="subscript"/>
                        <w:lang w:val="en-US"/>
                      </w:rPr>
                    </m:ctrlPr>
                  </m:sSupPr>
                  <m:e>
                    <m:r>
                      <w:rPr>
                        <w:rFonts w:ascii="Cambria Math" w:hAnsi="Cambria Math"/>
                        <w:vertAlign w:val="subscript"/>
                      </w:rPr>
                      <m:t>m</m:t>
                    </m:r>
                    <m:ctrlPr>
                      <w:rPr>
                        <w:rFonts w:ascii="Cambria Math" w:hAnsi="Cambria Math"/>
                        <w:i/>
                        <w:vertAlign w:val="subscript"/>
                      </w:rPr>
                    </m:ctrlPr>
                  </m:e>
                  <m:sup>
                    <m:r>
                      <w:rPr>
                        <w:rFonts w:ascii="Cambria Math" w:hAnsi="Cambria Math"/>
                        <w:vertAlign w:val="subscript"/>
                        <w:lang w:val="en-US"/>
                      </w:rPr>
                      <m:t>-3</m:t>
                    </m:r>
                  </m:sup>
                </m:sSup>
                <m:r>
                  <w:rPr>
                    <w:rFonts w:ascii="Cambria Math" w:hAnsi="Cambria Math"/>
                    <w:vertAlign w:val="subscript"/>
                  </w:rPr>
                  <m:t>]</m:t>
                </m:r>
              </m:oMath>
            </m:oMathPara>
          </w:p>
        </w:tc>
        <w:tc>
          <w:tcPr>
            <w:tcW w:w="6552" w:type="dxa"/>
            <w:gridSpan w:val="2"/>
          </w:tcPr>
          <w:p w:rsidR="002D766E" w:rsidRPr="00BD26EA" w:rsidRDefault="002D766E" w:rsidP="002D766E">
            <w:r>
              <w:t>hustota NO</w:t>
            </w:r>
            <w:r w:rsidRPr="00A004AE">
              <w:rPr>
                <w:vertAlign w:val="subscript"/>
              </w:rPr>
              <w:t>X</w:t>
            </w:r>
            <w:r>
              <w:t xml:space="preserve"> při 0 °C a 101,3 kPa (2,05 kg·m</w:t>
            </w:r>
            <w:r w:rsidRPr="00340D17">
              <w:rPr>
                <w:vertAlign w:val="superscript"/>
              </w:rPr>
              <w:t>-3</w:t>
            </w:r>
            <w:r>
              <w:t>)</w:t>
            </w:r>
          </w:p>
        </w:tc>
      </w:tr>
    </w:tbl>
    <w:p w:rsidR="00271930" w:rsidRPr="00AF2819" w:rsidRDefault="00271930" w:rsidP="00271930">
      <w:pPr>
        <w:rPr>
          <w:b/>
        </w:rPr>
      </w:pPr>
      <w:r w:rsidRPr="00AF2819">
        <w:rPr>
          <w:b/>
        </w:rPr>
        <w:t>CO</w:t>
      </w:r>
      <w:r>
        <w:rPr>
          <w:b/>
        </w:rPr>
        <w:t xml:space="preserve"> (oxid uhelnatý)</w:t>
      </w:r>
    </w:p>
    <w:p w:rsidR="00271930" w:rsidRDefault="00271930" w:rsidP="00271930">
      <w:pPr>
        <w:rPr>
          <w:b/>
        </w:rPr>
      </w:pPr>
      <w:r>
        <w:t>Specifický limit CO je dle metodického pokynu stanoven max. 200 mg/Nm</w:t>
      </w:r>
      <w:r w:rsidRPr="006F4E9A">
        <w:rPr>
          <w:vertAlign w:val="superscript"/>
        </w:rPr>
        <w:t>3</w:t>
      </w:r>
      <w:r>
        <w:t>. Dle specifikace výrobce činí produkce CO kogenerační jednotky méně než 100 mg/Nm</w:t>
      </w:r>
      <w:r w:rsidRPr="006F4E9A">
        <w:rPr>
          <w:vertAlign w:val="superscript"/>
        </w:rPr>
        <w:t>3</w:t>
      </w:r>
      <w:r>
        <w:t xml:space="preserve">. </w:t>
      </w:r>
      <w:r w:rsidRPr="006F4E9A">
        <w:rPr>
          <w:b/>
        </w:rPr>
        <w:t>Navržená jednotka splňuje limit uvedený v metodickém pokynu.</w:t>
      </w:r>
    </w:p>
    <w:p w:rsidR="00271930" w:rsidRDefault="00271930" w:rsidP="00271930">
      <w:pPr>
        <w:rPr>
          <w:b/>
        </w:rPr>
      </w:pPr>
      <w:r>
        <w:rPr>
          <w:b/>
        </w:rPr>
        <w:t>HCHO (formaldehyd)</w:t>
      </w:r>
    </w:p>
    <w:p w:rsidR="00271930" w:rsidRDefault="00271930" w:rsidP="00271930">
      <w:pPr>
        <w:rPr>
          <w:b/>
        </w:rPr>
      </w:pPr>
      <w:r>
        <w:t>Specifický limit HCHO je dle metodického pokynu stanoven max. 20 mg/Nm</w:t>
      </w:r>
      <w:r w:rsidRPr="006F4E9A">
        <w:rPr>
          <w:vertAlign w:val="superscript"/>
        </w:rPr>
        <w:t>3</w:t>
      </w:r>
      <w:r>
        <w:t>. Dle specifikace výrobce činí produkce HCHO kogenerační jednotky méně než 20 mg/Nm</w:t>
      </w:r>
      <w:r w:rsidRPr="006F4E9A">
        <w:rPr>
          <w:vertAlign w:val="superscript"/>
        </w:rPr>
        <w:t>3</w:t>
      </w:r>
      <w:r>
        <w:t xml:space="preserve">. </w:t>
      </w:r>
      <w:r w:rsidRPr="006F4E9A">
        <w:rPr>
          <w:b/>
        </w:rPr>
        <w:t>Navržená jednotka splňuje limit uvedený v metodickém pokynu.</w:t>
      </w:r>
    </w:p>
    <w:p w:rsidR="00271930" w:rsidRPr="006F4E9A" w:rsidRDefault="00271930" w:rsidP="00271930">
      <w:pPr>
        <w:rPr>
          <w:b/>
        </w:rPr>
      </w:pPr>
      <w:r>
        <w:rPr>
          <w:b/>
        </w:rPr>
        <w:t>NH</w:t>
      </w:r>
      <w:r w:rsidRPr="006F4E9A">
        <w:rPr>
          <w:b/>
          <w:vertAlign w:val="subscript"/>
        </w:rPr>
        <w:t>3</w:t>
      </w:r>
      <w:r>
        <w:rPr>
          <w:b/>
        </w:rPr>
        <w:t xml:space="preserve"> (amoniak)</w:t>
      </w:r>
    </w:p>
    <w:p w:rsidR="00271930" w:rsidRPr="00271930" w:rsidRDefault="00271930" w:rsidP="00271930">
      <w:pPr>
        <w:rPr>
          <w:b/>
        </w:rPr>
      </w:pPr>
      <w:r w:rsidRPr="00271930">
        <w:t>Specifický limit NH</w:t>
      </w:r>
      <w:r w:rsidRPr="00271930">
        <w:rPr>
          <w:vertAlign w:val="subscript"/>
        </w:rPr>
        <w:t>3</w:t>
      </w:r>
      <w:r w:rsidRPr="00271930">
        <w:t xml:space="preserve"> je dle metodického pokynu max. 30 mg/Nm</w:t>
      </w:r>
      <w:r w:rsidRPr="00271930">
        <w:rPr>
          <w:vertAlign w:val="superscript"/>
        </w:rPr>
        <w:t>3</w:t>
      </w:r>
      <w:r w:rsidRPr="00271930">
        <w:t xml:space="preserve">. Dle specifikace výrobce činí produkce </w:t>
      </w:r>
      <w:r>
        <w:t>NH</w:t>
      </w:r>
      <w:r w:rsidRPr="00271930">
        <w:rPr>
          <w:vertAlign w:val="subscript"/>
        </w:rPr>
        <w:t>3</w:t>
      </w:r>
      <w:r>
        <w:t xml:space="preserve"> </w:t>
      </w:r>
      <w:r w:rsidRPr="00271930">
        <w:t>kogenerační jednotky 30 mg/Nm</w:t>
      </w:r>
      <w:r w:rsidRPr="00271930">
        <w:rPr>
          <w:vertAlign w:val="superscript"/>
        </w:rPr>
        <w:t>3</w:t>
      </w:r>
      <w:r w:rsidRPr="00271930">
        <w:t>.</w:t>
      </w:r>
      <w:r>
        <w:t xml:space="preserve"> </w:t>
      </w:r>
      <w:r w:rsidRPr="00271930">
        <w:rPr>
          <w:b/>
        </w:rPr>
        <w:t>Navržená jednotka splňuje limit uvedený v metodickém pokynu.</w:t>
      </w:r>
    </w:p>
    <w:p w:rsidR="00271930" w:rsidRDefault="00271930" w:rsidP="002D766E">
      <w:pPr>
        <w:keepNext/>
        <w:rPr>
          <w:b/>
        </w:rPr>
      </w:pPr>
      <w:r>
        <w:rPr>
          <w:b/>
        </w:rPr>
        <w:t xml:space="preserve">TOC (celkový organický uhlík) </w:t>
      </w:r>
    </w:p>
    <w:p w:rsidR="00271930" w:rsidRPr="00271930" w:rsidRDefault="00271930" w:rsidP="00271930">
      <w:pPr>
        <w:rPr>
          <w:b/>
        </w:rPr>
      </w:pPr>
      <w:r>
        <w:t>Emisní limit pro TOC je dle metodického pokynu pouze doporučenou hodnotou. Pro motory s chudou směsí činí 1300 mg/Nm</w:t>
      </w:r>
      <w:r w:rsidRPr="006F4E9A">
        <w:rPr>
          <w:vertAlign w:val="superscript"/>
        </w:rPr>
        <w:t>3</w:t>
      </w:r>
      <w:r>
        <w:t>. Pro motory se stechiometrickým spalováním pak 300 mg/Nm</w:t>
      </w:r>
      <w:r w:rsidRPr="003D1CD9">
        <w:rPr>
          <w:vertAlign w:val="superscript"/>
        </w:rPr>
        <w:t>3</w:t>
      </w:r>
      <w:r>
        <w:t>. Dle specifikace činí produkce TOC 300 mg/Nm</w:t>
      </w:r>
      <w:r w:rsidRPr="003D1CD9">
        <w:rPr>
          <w:vertAlign w:val="superscript"/>
        </w:rPr>
        <w:t>3</w:t>
      </w:r>
      <w:r>
        <w:t xml:space="preserve">. </w:t>
      </w:r>
      <w:r w:rsidRPr="00271930">
        <w:rPr>
          <w:b/>
        </w:rPr>
        <w:t>Navržená jednotka splňuje doporučení.</w:t>
      </w:r>
    </w:p>
    <w:p w:rsidR="00271930" w:rsidRPr="003D1CD9" w:rsidRDefault="00271930" w:rsidP="00271930">
      <w:pPr>
        <w:rPr>
          <w:b/>
          <w:vertAlign w:val="subscript"/>
        </w:rPr>
      </w:pPr>
      <w:r w:rsidRPr="003D1CD9">
        <w:rPr>
          <w:b/>
        </w:rPr>
        <w:t>TOC</w:t>
      </w:r>
      <w:r w:rsidRPr="003D1CD9">
        <w:rPr>
          <w:b/>
          <w:vertAlign w:val="subscript"/>
        </w:rPr>
        <w:t>NM</w:t>
      </w:r>
    </w:p>
    <w:p w:rsidR="00271930" w:rsidRPr="006F4E9A" w:rsidRDefault="00271930" w:rsidP="00271930">
      <w:r>
        <w:t>Emisní limit pro TOC</w:t>
      </w:r>
      <w:r w:rsidRPr="003D1CD9">
        <w:rPr>
          <w:vertAlign w:val="subscript"/>
        </w:rPr>
        <w:t>NM</w:t>
      </w:r>
      <w:r>
        <w:t xml:space="preserve"> je dle metodického pokynu pouze doporučenou hodnotou stanovenou jako 150 mg/Nm</w:t>
      </w:r>
      <w:r w:rsidRPr="003D1CD9">
        <w:rPr>
          <w:vertAlign w:val="superscript"/>
        </w:rPr>
        <w:t>3</w:t>
      </w:r>
      <w:r>
        <w:t xml:space="preserve">. </w:t>
      </w:r>
      <w:r w:rsidRPr="00271930">
        <w:rPr>
          <w:b/>
        </w:rPr>
        <w:t>Tato hodnota nebyla u výrobce zjištěna.</w:t>
      </w:r>
      <w:r>
        <w:rPr>
          <w:color w:val="FF0000"/>
        </w:rPr>
        <w:t xml:space="preserve"> </w:t>
      </w:r>
      <w:r>
        <w:t xml:space="preserve"> </w:t>
      </w:r>
    </w:p>
    <w:p w:rsidR="00370BDE" w:rsidRDefault="00370BDE" w:rsidP="00370BDE">
      <w:pPr>
        <w:pStyle w:val="Nadpis3"/>
      </w:pPr>
      <w:bookmarkStart w:id="93" w:name="_Toc58949369"/>
      <w:r>
        <w:t>Provozní náklady KGJ</w:t>
      </w:r>
      <w:bookmarkEnd w:id="93"/>
    </w:p>
    <w:p w:rsidR="00377098" w:rsidRPr="00A23754" w:rsidRDefault="00377098" w:rsidP="00377098">
      <w:r>
        <w:t>Kromě investic je do výdajů zapotřebí zahrnout i provozní náklady KGJ. Ty jsou shrnuty v</w:t>
      </w:r>
      <w:r w:rsidR="00084B32">
        <w:t xml:space="preserve"> </w:t>
      </w:r>
      <w:r w:rsidR="00084B32">
        <w:fldChar w:fldCharType="begin"/>
      </w:r>
      <w:r w:rsidR="00084B32">
        <w:instrText xml:space="preserve"> REF _Ref56448463 \h </w:instrText>
      </w:r>
      <w:r w:rsidR="00084B32">
        <w:fldChar w:fldCharType="separate"/>
      </w:r>
      <w:r w:rsidR="00816426">
        <w:t xml:space="preserve">Tab. </w:t>
      </w:r>
      <w:r w:rsidR="00816426">
        <w:rPr>
          <w:noProof/>
        </w:rPr>
        <w:t>13</w:t>
      </w:r>
      <w:r w:rsidR="00084B32">
        <w:fldChar w:fldCharType="end"/>
      </w:r>
      <w:r>
        <w:t xml:space="preserve">. Zejména jsou však součástí finanční a ekonomické analýzy pro variantu </w:t>
      </w:r>
      <w:r w:rsidR="00084B32">
        <w:t>B</w:t>
      </w:r>
      <w:r>
        <w:t xml:space="preserve"> –</w:t>
      </w:r>
      <w:r w:rsidR="00084B32">
        <w:t xml:space="preserve"> </w:t>
      </w:r>
      <w:r w:rsidR="00084B32">
        <w:fldChar w:fldCharType="begin"/>
      </w:r>
      <w:r w:rsidR="00084B32">
        <w:instrText xml:space="preserve"> REF _Ref56448609 \h </w:instrText>
      </w:r>
      <w:r w:rsidR="00084B32">
        <w:fldChar w:fldCharType="separate"/>
      </w:r>
      <w:r w:rsidR="00816426" w:rsidRPr="002410EE">
        <w:t xml:space="preserve">Příloha č. </w:t>
      </w:r>
      <w:r w:rsidR="00816426">
        <w:rPr>
          <w:noProof/>
        </w:rPr>
        <w:t>8</w:t>
      </w:r>
      <w:r w:rsidR="00084B32">
        <w:fldChar w:fldCharType="end"/>
      </w:r>
      <w:r>
        <w:t>.</w:t>
      </w:r>
    </w:p>
    <w:p w:rsidR="00377098" w:rsidRDefault="00377098" w:rsidP="00084B32">
      <w:pPr>
        <w:pStyle w:val="Tabulka"/>
      </w:pPr>
      <w:r>
        <w:t xml:space="preserve"> </w:t>
      </w:r>
      <w:bookmarkStart w:id="94" w:name="_Ref56448463"/>
      <w:r>
        <w:t xml:space="preserve">Tab. </w:t>
      </w:r>
      <w:fldSimple w:instr=" SEQ Tab. \* ARABIC ">
        <w:r w:rsidR="00816426">
          <w:rPr>
            <w:noProof/>
          </w:rPr>
          <w:t>13</w:t>
        </w:r>
      </w:fldSimple>
      <w:bookmarkEnd w:id="94"/>
      <w:r>
        <w:t xml:space="preserve"> Provozní náklady související s</w:t>
      </w:r>
      <w:r w:rsidR="00084B32">
        <w:t> </w:t>
      </w:r>
      <w:r>
        <w:t>KGJ</w:t>
      </w:r>
      <w:r w:rsidR="00084B32">
        <w:t xml:space="preserve"> – varianta B</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2631"/>
        <w:gridCol w:w="3071"/>
      </w:tblGrid>
      <w:tr w:rsidR="00377098" w:rsidTr="00511836">
        <w:trPr>
          <w:trHeight w:val="397"/>
        </w:trPr>
        <w:tc>
          <w:tcPr>
            <w:tcW w:w="3510" w:type="dxa"/>
            <w:tcBorders>
              <w:bottom w:val="single" w:sz="4" w:space="0" w:color="auto"/>
            </w:tcBorders>
            <w:vAlign w:val="center"/>
          </w:tcPr>
          <w:p w:rsidR="00377098" w:rsidRDefault="00377098" w:rsidP="00511836">
            <w:pPr>
              <w:keepNext/>
              <w:spacing w:before="0" w:after="0"/>
              <w:jc w:val="left"/>
            </w:pPr>
            <w:r>
              <w:t>Druh provozního nákladu</w:t>
            </w:r>
          </w:p>
        </w:tc>
        <w:tc>
          <w:tcPr>
            <w:tcW w:w="2631" w:type="dxa"/>
            <w:tcBorders>
              <w:bottom w:val="single" w:sz="4" w:space="0" w:color="auto"/>
            </w:tcBorders>
            <w:vAlign w:val="center"/>
          </w:tcPr>
          <w:p w:rsidR="00377098" w:rsidRDefault="00377098" w:rsidP="00511836">
            <w:pPr>
              <w:keepNext/>
              <w:spacing w:before="0" w:after="0"/>
              <w:jc w:val="left"/>
            </w:pPr>
            <w:r>
              <w:t>Četnost</w:t>
            </w:r>
          </w:p>
        </w:tc>
        <w:tc>
          <w:tcPr>
            <w:tcW w:w="3071" w:type="dxa"/>
            <w:tcBorders>
              <w:bottom w:val="single" w:sz="4" w:space="0" w:color="auto"/>
            </w:tcBorders>
            <w:vAlign w:val="center"/>
          </w:tcPr>
          <w:p w:rsidR="00377098" w:rsidRDefault="00377098" w:rsidP="00511836">
            <w:pPr>
              <w:keepNext/>
              <w:spacing w:before="0" w:after="0"/>
              <w:jc w:val="left"/>
            </w:pPr>
            <w:r>
              <w:t>Cena (bez DPH)</w:t>
            </w:r>
          </w:p>
        </w:tc>
      </w:tr>
      <w:tr w:rsidR="00377098" w:rsidTr="00511836">
        <w:trPr>
          <w:trHeight w:val="397"/>
        </w:trPr>
        <w:tc>
          <w:tcPr>
            <w:tcW w:w="3510" w:type="dxa"/>
            <w:tcBorders>
              <w:top w:val="single" w:sz="4" w:space="0" w:color="auto"/>
              <w:bottom w:val="nil"/>
            </w:tcBorders>
            <w:vAlign w:val="center"/>
          </w:tcPr>
          <w:p w:rsidR="00377098" w:rsidRDefault="00377098" w:rsidP="00511836">
            <w:pPr>
              <w:keepNext/>
              <w:spacing w:before="0" w:after="0"/>
              <w:jc w:val="left"/>
            </w:pPr>
            <w:r>
              <w:t>Dodávka plynu pro provoz KGJ</w:t>
            </w:r>
          </w:p>
        </w:tc>
        <w:tc>
          <w:tcPr>
            <w:tcW w:w="2631" w:type="dxa"/>
            <w:tcBorders>
              <w:top w:val="single" w:sz="4" w:space="0" w:color="auto"/>
              <w:bottom w:val="nil"/>
            </w:tcBorders>
            <w:vAlign w:val="center"/>
          </w:tcPr>
          <w:p w:rsidR="00377098" w:rsidRDefault="006C64BF" w:rsidP="00511836">
            <w:pPr>
              <w:keepNext/>
              <w:spacing w:before="0" w:after="0"/>
              <w:jc w:val="left"/>
            </w:pPr>
            <w:r>
              <w:t>roční</w:t>
            </w:r>
          </w:p>
        </w:tc>
        <w:tc>
          <w:tcPr>
            <w:tcW w:w="3071" w:type="dxa"/>
            <w:tcBorders>
              <w:top w:val="single" w:sz="4" w:space="0" w:color="auto"/>
              <w:bottom w:val="nil"/>
            </w:tcBorders>
            <w:vAlign w:val="center"/>
          </w:tcPr>
          <w:p w:rsidR="00377098" w:rsidRPr="006C64BF" w:rsidRDefault="006C64BF" w:rsidP="00511836">
            <w:pPr>
              <w:keepNext/>
              <w:spacing w:before="0" w:after="0"/>
              <w:jc w:val="left"/>
            </w:pPr>
            <w:r w:rsidRPr="006C64BF">
              <w:t>1,5 mil. Kč</w:t>
            </w:r>
          </w:p>
        </w:tc>
      </w:tr>
      <w:tr w:rsidR="00377098" w:rsidTr="00511836">
        <w:trPr>
          <w:trHeight w:val="397"/>
        </w:trPr>
        <w:tc>
          <w:tcPr>
            <w:tcW w:w="3510" w:type="dxa"/>
            <w:tcBorders>
              <w:top w:val="nil"/>
              <w:bottom w:val="nil"/>
            </w:tcBorders>
            <w:vAlign w:val="center"/>
          </w:tcPr>
          <w:p w:rsidR="00377098" w:rsidRDefault="00377098" w:rsidP="00511836">
            <w:pPr>
              <w:keepNext/>
              <w:spacing w:before="0" w:after="0"/>
              <w:jc w:val="left"/>
            </w:pPr>
            <w:r>
              <w:t>Cena za servis</w:t>
            </w:r>
          </w:p>
        </w:tc>
        <w:tc>
          <w:tcPr>
            <w:tcW w:w="2631" w:type="dxa"/>
            <w:tcBorders>
              <w:top w:val="nil"/>
              <w:bottom w:val="nil"/>
            </w:tcBorders>
            <w:vAlign w:val="center"/>
          </w:tcPr>
          <w:p w:rsidR="00377098" w:rsidRDefault="00377098" w:rsidP="00511836">
            <w:pPr>
              <w:keepNext/>
              <w:spacing w:before="0" w:after="0"/>
              <w:jc w:val="left"/>
            </w:pPr>
            <w:r>
              <w:t>dle pokynů výrobce</w:t>
            </w:r>
          </w:p>
        </w:tc>
        <w:tc>
          <w:tcPr>
            <w:tcW w:w="3071" w:type="dxa"/>
            <w:tcBorders>
              <w:top w:val="nil"/>
              <w:bottom w:val="nil"/>
            </w:tcBorders>
            <w:vAlign w:val="center"/>
          </w:tcPr>
          <w:p w:rsidR="00377098" w:rsidRDefault="00377098" w:rsidP="00511836">
            <w:pPr>
              <w:keepNext/>
              <w:spacing w:before="0" w:after="0"/>
              <w:jc w:val="left"/>
            </w:pPr>
            <w:r>
              <w:t>80 Kč/motohodina</w:t>
            </w:r>
          </w:p>
        </w:tc>
      </w:tr>
      <w:tr w:rsidR="00377098" w:rsidTr="00511836">
        <w:trPr>
          <w:trHeight w:val="397"/>
        </w:trPr>
        <w:tc>
          <w:tcPr>
            <w:tcW w:w="3510" w:type="dxa"/>
            <w:tcBorders>
              <w:top w:val="nil"/>
              <w:bottom w:val="single" w:sz="12" w:space="0" w:color="auto"/>
            </w:tcBorders>
            <w:vAlign w:val="center"/>
          </w:tcPr>
          <w:p w:rsidR="00377098" w:rsidRDefault="00377098" w:rsidP="00511836">
            <w:pPr>
              <w:spacing w:before="0" w:after="0"/>
              <w:jc w:val="left"/>
            </w:pPr>
            <w:r>
              <w:t>Generální servis</w:t>
            </w:r>
          </w:p>
        </w:tc>
        <w:tc>
          <w:tcPr>
            <w:tcW w:w="2631" w:type="dxa"/>
            <w:tcBorders>
              <w:top w:val="nil"/>
              <w:bottom w:val="single" w:sz="12" w:space="0" w:color="auto"/>
            </w:tcBorders>
            <w:vAlign w:val="center"/>
          </w:tcPr>
          <w:p w:rsidR="00377098" w:rsidRDefault="00377098" w:rsidP="00511836">
            <w:pPr>
              <w:spacing w:before="0" w:after="0"/>
              <w:jc w:val="left"/>
            </w:pPr>
            <w:r>
              <w:t>po 50 tis. motohodinách</w:t>
            </w:r>
          </w:p>
        </w:tc>
        <w:tc>
          <w:tcPr>
            <w:tcW w:w="3071" w:type="dxa"/>
            <w:tcBorders>
              <w:top w:val="nil"/>
              <w:bottom w:val="single" w:sz="12" w:space="0" w:color="auto"/>
            </w:tcBorders>
            <w:vAlign w:val="center"/>
          </w:tcPr>
          <w:p w:rsidR="00377098" w:rsidRPr="00AA0C2A" w:rsidRDefault="006C64BF" w:rsidP="006C64BF">
            <w:pPr>
              <w:spacing w:before="0" w:after="0"/>
              <w:jc w:val="left"/>
            </w:pPr>
            <w:r>
              <w:t>1,4 mil. Kč</w:t>
            </w:r>
          </w:p>
        </w:tc>
      </w:tr>
    </w:tbl>
    <w:p w:rsidR="00370BDE" w:rsidRDefault="00370BDE" w:rsidP="00370BDE">
      <w:pPr>
        <w:pStyle w:val="Nadpis3"/>
      </w:pPr>
      <w:bookmarkStart w:id="95" w:name="_Toc58949370"/>
      <w:r>
        <w:t>Akumulace tepla vyrobeného KGJ</w:t>
      </w:r>
      <w:bookmarkEnd w:id="95"/>
    </w:p>
    <w:p w:rsidR="006C64BF" w:rsidRDefault="006C64BF" w:rsidP="006C64BF">
      <w:r>
        <w:t>Pro lepší efektivitu a necyklování provozu kogenerační jednotky bude do systému zařazena možnost akumulace tepla. Pro tento účel budou zařazeny do systému dvě akumulační nádoby (každá o objemu 10 m</w:t>
      </w:r>
      <w:r w:rsidRPr="00365B12">
        <w:rPr>
          <w:vertAlign w:val="superscript"/>
        </w:rPr>
        <w:t>3</w:t>
      </w:r>
      <w:r>
        <w:t xml:space="preserve">) – viz </w:t>
      </w:r>
      <w:r>
        <w:fldChar w:fldCharType="begin"/>
      </w:r>
      <w:r>
        <w:instrText xml:space="preserve"> REF _Ref56349332 \h </w:instrText>
      </w:r>
      <w:r>
        <w:fldChar w:fldCharType="separate"/>
      </w:r>
      <w:r w:rsidR="00816426">
        <w:t xml:space="preserve">Obr. </w:t>
      </w:r>
      <w:r w:rsidR="00816426">
        <w:rPr>
          <w:noProof/>
        </w:rPr>
        <w:t>13</w:t>
      </w:r>
      <w:r>
        <w:fldChar w:fldCharType="end"/>
      </w:r>
      <w:r>
        <w:t xml:space="preserve"> – označeny jako zásobníky č. 1, 2. Tyto nádoby budou využity stávající (parametry viz </w:t>
      </w:r>
      <w:r>
        <w:fldChar w:fldCharType="begin"/>
      </w:r>
      <w:r>
        <w:instrText xml:space="preserve"> REF _Ref56349647 \h </w:instrText>
      </w:r>
      <w:r>
        <w:fldChar w:fldCharType="separate"/>
      </w:r>
      <w:r w:rsidR="00816426">
        <w:t xml:space="preserve">Tab. </w:t>
      </w:r>
      <w:r w:rsidR="00816426">
        <w:rPr>
          <w:noProof/>
        </w:rPr>
        <w:t>14</w:t>
      </w:r>
      <w:r>
        <w:fldChar w:fldCharType="end"/>
      </w:r>
      <w:r>
        <w:t xml:space="preserve">). Původně sloužily jako zásobníky TV, v současnosti jsou v neutěšeném stavu. Pro to, aby mohly být využity v topném systému, bude muset dojít k jejich kompletní sanaci. </w:t>
      </w:r>
      <w:r w:rsidR="00F259F5">
        <w:t>Akumulační zásobníky budou nově izolovány způsobem odpovídajícím vyhlášce č. 193/2007 Sb.</w:t>
      </w:r>
      <w:r w:rsidR="00D42711">
        <w:t xml:space="preserve"> </w:t>
      </w:r>
      <w:r>
        <w:t xml:space="preserve">Odhadované náklady na sanaci jednoho zásobníku jsou 150 tis. Kč bez DPH. </w:t>
      </w:r>
    </w:p>
    <w:p w:rsidR="006C64BF" w:rsidRDefault="006C64BF" w:rsidP="006C64BF">
      <w:pPr>
        <w:pStyle w:val="Tabulka"/>
      </w:pPr>
      <w:bookmarkStart w:id="96" w:name="_Ref56349647"/>
      <w:r>
        <w:t xml:space="preserve">Tab. </w:t>
      </w:r>
      <w:fldSimple w:instr=" SEQ Tab. \* ARABIC ">
        <w:r w:rsidR="00816426">
          <w:rPr>
            <w:noProof/>
          </w:rPr>
          <w:t>14</w:t>
        </w:r>
      </w:fldSimple>
      <w:bookmarkEnd w:id="96"/>
      <w:r>
        <w:t xml:space="preserve"> Technické parametry akumulačních nádob</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6629"/>
        <w:gridCol w:w="1276"/>
        <w:gridCol w:w="1383"/>
      </w:tblGrid>
      <w:tr w:rsidR="006C64BF" w:rsidTr="00B17630">
        <w:trPr>
          <w:trHeight w:val="397"/>
        </w:trPr>
        <w:tc>
          <w:tcPr>
            <w:tcW w:w="6629" w:type="dxa"/>
            <w:tcBorders>
              <w:top w:val="single" w:sz="12" w:space="0" w:color="auto"/>
              <w:bottom w:val="nil"/>
            </w:tcBorders>
            <w:vAlign w:val="center"/>
          </w:tcPr>
          <w:p w:rsidR="006C64BF" w:rsidRDefault="006C64BF" w:rsidP="00B17630">
            <w:pPr>
              <w:spacing w:before="0" w:after="0"/>
              <w:jc w:val="left"/>
            </w:pPr>
            <w:r>
              <w:t>Objem</w:t>
            </w:r>
          </w:p>
        </w:tc>
        <w:tc>
          <w:tcPr>
            <w:tcW w:w="1276" w:type="dxa"/>
            <w:tcBorders>
              <w:top w:val="single" w:sz="12" w:space="0" w:color="auto"/>
              <w:bottom w:val="nil"/>
            </w:tcBorders>
            <w:vAlign w:val="center"/>
          </w:tcPr>
          <w:p w:rsidR="006C64BF" w:rsidRPr="00A45C44" w:rsidRDefault="006C64BF" w:rsidP="00B17630">
            <w:pPr>
              <w:spacing w:before="0" w:after="0"/>
              <w:jc w:val="center"/>
            </w:pPr>
            <w:r>
              <w:rPr>
                <w:lang w:val="en-US"/>
              </w:rPr>
              <w:t>[m</w:t>
            </w:r>
            <w:r w:rsidRPr="00C2580B">
              <w:rPr>
                <w:vertAlign w:val="superscript"/>
                <w:lang w:val="en-US"/>
              </w:rPr>
              <w:t>3</w:t>
            </w:r>
            <w:r>
              <w:rPr>
                <w:lang w:val="en-US"/>
              </w:rPr>
              <w:t>]</w:t>
            </w:r>
          </w:p>
        </w:tc>
        <w:tc>
          <w:tcPr>
            <w:tcW w:w="1383" w:type="dxa"/>
            <w:tcBorders>
              <w:top w:val="single" w:sz="12" w:space="0" w:color="auto"/>
              <w:bottom w:val="nil"/>
            </w:tcBorders>
            <w:vAlign w:val="center"/>
          </w:tcPr>
          <w:p w:rsidR="006C64BF" w:rsidRDefault="006C64BF" w:rsidP="00B17630">
            <w:pPr>
              <w:spacing w:before="0" w:after="0"/>
              <w:jc w:val="right"/>
            </w:pPr>
            <w:r>
              <w:t>10</w:t>
            </w:r>
          </w:p>
        </w:tc>
      </w:tr>
      <w:tr w:rsidR="006C64BF" w:rsidTr="00B17630">
        <w:trPr>
          <w:trHeight w:val="397"/>
        </w:trPr>
        <w:tc>
          <w:tcPr>
            <w:tcW w:w="6629" w:type="dxa"/>
            <w:tcBorders>
              <w:top w:val="nil"/>
              <w:bottom w:val="nil"/>
            </w:tcBorders>
            <w:vAlign w:val="center"/>
          </w:tcPr>
          <w:p w:rsidR="006C64BF" w:rsidRDefault="006C64BF" w:rsidP="00B17630">
            <w:pPr>
              <w:spacing w:before="0" w:after="0"/>
              <w:jc w:val="left"/>
            </w:pPr>
            <w:r>
              <w:t>Jmenovitý tlak</w:t>
            </w:r>
          </w:p>
        </w:tc>
        <w:tc>
          <w:tcPr>
            <w:tcW w:w="1276" w:type="dxa"/>
            <w:tcBorders>
              <w:top w:val="nil"/>
              <w:bottom w:val="nil"/>
            </w:tcBorders>
            <w:vAlign w:val="center"/>
          </w:tcPr>
          <w:p w:rsidR="006C64BF" w:rsidRPr="00A45C44" w:rsidRDefault="006C64BF" w:rsidP="00B17630">
            <w:pPr>
              <w:spacing w:before="0" w:after="0"/>
              <w:jc w:val="center"/>
              <w:rPr>
                <w:lang w:val="en-US"/>
              </w:rPr>
            </w:pPr>
            <w:r>
              <w:rPr>
                <w:lang w:val="en-US"/>
              </w:rPr>
              <w:t>[</w:t>
            </w:r>
            <w:r>
              <w:t>MPa</w:t>
            </w:r>
            <w:r>
              <w:rPr>
                <w:lang w:val="en-US"/>
              </w:rPr>
              <w:t>]</w:t>
            </w:r>
          </w:p>
        </w:tc>
        <w:tc>
          <w:tcPr>
            <w:tcW w:w="1383" w:type="dxa"/>
            <w:tcBorders>
              <w:top w:val="nil"/>
              <w:bottom w:val="nil"/>
            </w:tcBorders>
            <w:vAlign w:val="center"/>
          </w:tcPr>
          <w:p w:rsidR="006C64BF" w:rsidRDefault="006C64BF" w:rsidP="00B17630">
            <w:pPr>
              <w:spacing w:before="0" w:after="0"/>
              <w:jc w:val="right"/>
            </w:pPr>
            <w:r>
              <w:t>1,6</w:t>
            </w:r>
          </w:p>
        </w:tc>
      </w:tr>
      <w:tr w:rsidR="006C64BF" w:rsidTr="00B17630">
        <w:trPr>
          <w:trHeight w:val="397"/>
        </w:trPr>
        <w:tc>
          <w:tcPr>
            <w:tcW w:w="6629" w:type="dxa"/>
            <w:tcBorders>
              <w:top w:val="nil"/>
              <w:bottom w:val="nil"/>
            </w:tcBorders>
            <w:vAlign w:val="center"/>
          </w:tcPr>
          <w:p w:rsidR="006C64BF" w:rsidRDefault="006C64BF" w:rsidP="00B17630">
            <w:pPr>
              <w:spacing w:before="0" w:after="0"/>
              <w:jc w:val="left"/>
            </w:pPr>
            <w:r>
              <w:t>Průměr</w:t>
            </w:r>
          </w:p>
        </w:tc>
        <w:tc>
          <w:tcPr>
            <w:tcW w:w="1276" w:type="dxa"/>
            <w:tcBorders>
              <w:top w:val="nil"/>
              <w:bottom w:val="nil"/>
            </w:tcBorders>
            <w:vAlign w:val="center"/>
          </w:tcPr>
          <w:p w:rsidR="006C64BF" w:rsidRPr="00A45C44" w:rsidRDefault="006C64BF" w:rsidP="00B17630">
            <w:pPr>
              <w:spacing w:before="0" w:after="0"/>
              <w:jc w:val="center"/>
            </w:pPr>
            <w:r>
              <w:rPr>
                <w:lang w:val="en-US"/>
              </w:rPr>
              <w:t>[mm]</w:t>
            </w:r>
          </w:p>
        </w:tc>
        <w:tc>
          <w:tcPr>
            <w:tcW w:w="1383" w:type="dxa"/>
            <w:tcBorders>
              <w:top w:val="nil"/>
              <w:bottom w:val="nil"/>
            </w:tcBorders>
            <w:vAlign w:val="center"/>
          </w:tcPr>
          <w:p w:rsidR="006C64BF" w:rsidRDefault="006C64BF" w:rsidP="00B17630">
            <w:pPr>
              <w:spacing w:before="0" w:after="0"/>
              <w:jc w:val="right"/>
            </w:pPr>
            <w:r>
              <w:t>2</w:t>
            </w:r>
            <w:r w:rsidR="00402561">
              <w:t> </w:t>
            </w:r>
            <w:r>
              <w:t>000</w:t>
            </w:r>
          </w:p>
        </w:tc>
      </w:tr>
      <w:tr w:rsidR="006C64BF" w:rsidTr="00B17630">
        <w:trPr>
          <w:trHeight w:val="397"/>
        </w:trPr>
        <w:tc>
          <w:tcPr>
            <w:tcW w:w="6629" w:type="dxa"/>
            <w:tcBorders>
              <w:top w:val="nil"/>
              <w:bottom w:val="nil"/>
            </w:tcBorders>
            <w:vAlign w:val="center"/>
          </w:tcPr>
          <w:p w:rsidR="006C64BF" w:rsidRDefault="006C64BF" w:rsidP="00B17630">
            <w:pPr>
              <w:spacing w:before="0" w:after="0"/>
              <w:ind w:left="708" w:hanging="708"/>
              <w:jc w:val="left"/>
            </w:pPr>
            <w:r>
              <w:t>Výška zásobníku</w:t>
            </w:r>
          </w:p>
        </w:tc>
        <w:tc>
          <w:tcPr>
            <w:tcW w:w="1276" w:type="dxa"/>
            <w:tcBorders>
              <w:top w:val="nil"/>
              <w:bottom w:val="nil"/>
            </w:tcBorders>
            <w:vAlign w:val="center"/>
          </w:tcPr>
          <w:p w:rsidR="006C64BF" w:rsidRPr="00A45C44" w:rsidRDefault="006C64BF" w:rsidP="00B17630">
            <w:pPr>
              <w:spacing w:before="0" w:after="0"/>
              <w:jc w:val="center"/>
            </w:pPr>
            <w:r>
              <w:rPr>
                <w:lang w:val="en-US"/>
              </w:rPr>
              <w:t>[mm]</w:t>
            </w:r>
          </w:p>
        </w:tc>
        <w:tc>
          <w:tcPr>
            <w:tcW w:w="1383" w:type="dxa"/>
            <w:tcBorders>
              <w:top w:val="nil"/>
              <w:bottom w:val="nil"/>
            </w:tcBorders>
            <w:vAlign w:val="center"/>
          </w:tcPr>
          <w:p w:rsidR="006C64BF" w:rsidRDefault="006C64BF" w:rsidP="00B17630">
            <w:pPr>
              <w:spacing w:before="0" w:after="0"/>
              <w:jc w:val="right"/>
            </w:pPr>
            <w:r>
              <w:t>3</w:t>
            </w:r>
            <w:r w:rsidR="00402561">
              <w:t> </w:t>
            </w:r>
            <w:r>
              <w:t>720</w:t>
            </w:r>
          </w:p>
        </w:tc>
      </w:tr>
      <w:tr w:rsidR="006C64BF" w:rsidTr="00B17630">
        <w:trPr>
          <w:trHeight w:val="397"/>
        </w:trPr>
        <w:tc>
          <w:tcPr>
            <w:tcW w:w="6629" w:type="dxa"/>
            <w:tcBorders>
              <w:top w:val="nil"/>
              <w:bottom w:val="single" w:sz="12" w:space="0" w:color="auto"/>
            </w:tcBorders>
            <w:vAlign w:val="center"/>
          </w:tcPr>
          <w:p w:rsidR="006C64BF" w:rsidRDefault="006C64BF" w:rsidP="00B17630">
            <w:pPr>
              <w:spacing w:before="0" w:after="0"/>
              <w:jc w:val="left"/>
            </w:pPr>
            <w:r>
              <w:t>Hmotnost</w:t>
            </w:r>
          </w:p>
        </w:tc>
        <w:tc>
          <w:tcPr>
            <w:tcW w:w="1276" w:type="dxa"/>
            <w:tcBorders>
              <w:top w:val="nil"/>
              <w:bottom w:val="single" w:sz="12" w:space="0" w:color="auto"/>
            </w:tcBorders>
            <w:vAlign w:val="center"/>
          </w:tcPr>
          <w:p w:rsidR="006C64BF" w:rsidRPr="00A45C44" w:rsidRDefault="006C64BF" w:rsidP="00B17630">
            <w:pPr>
              <w:spacing w:before="0" w:after="0"/>
              <w:jc w:val="center"/>
            </w:pPr>
            <w:r>
              <w:rPr>
                <w:lang w:val="en-US"/>
              </w:rPr>
              <w:t>[kg]</w:t>
            </w:r>
          </w:p>
        </w:tc>
        <w:tc>
          <w:tcPr>
            <w:tcW w:w="1383" w:type="dxa"/>
            <w:tcBorders>
              <w:top w:val="nil"/>
              <w:bottom w:val="single" w:sz="12" w:space="0" w:color="auto"/>
            </w:tcBorders>
            <w:vAlign w:val="center"/>
          </w:tcPr>
          <w:p w:rsidR="006C64BF" w:rsidRDefault="006C64BF" w:rsidP="00B17630">
            <w:pPr>
              <w:spacing w:before="0" w:after="0"/>
              <w:jc w:val="right"/>
            </w:pPr>
            <w:r>
              <w:t>3</w:t>
            </w:r>
            <w:r w:rsidR="00D42711">
              <w:t> </w:t>
            </w:r>
            <w:r>
              <w:t>000</w:t>
            </w:r>
          </w:p>
        </w:tc>
      </w:tr>
    </w:tbl>
    <w:p w:rsidR="00E456B6" w:rsidRDefault="00D42711">
      <w:r w:rsidRPr="00E456B6">
        <w:t xml:space="preserve">Schéma zapojení akumulačních zásobníků je patrné z výkresové přílohy (viz </w:t>
      </w:r>
      <w:r w:rsidRPr="00E456B6">
        <w:fldChar w:fldCharType="begin"/>
      </w:r>
      <w:r w:rsidRPr="00E456B6">
        <w:instrText xml:space="preserve"> REF _Ref58248604 \h  \* MERGEFORMAT </w:instrText>
      </w:r>
      <w:r w:rsidRPr="00E456B6">
        <w:fldChar w:fldCharType="separate"/>
      </w:r>
      <w:r w:rsidR="00816426" w:rsidRPr="002410EE">
        <w:t xml:space="preserve">Příloha č. </w:t>
      </w:r>
      <w:r w:rsidR="00816426">
        <w:rPr>
          <w:noProof/>
        </w:rPr>
        <w:t>13</w:t>
      </w:r>
      <w:r w:rsidRPr="00E456B6">
        <w:fldChar w:fldCharType="end"/>
      </w:r>
      <w:r w:rsidRPr="00E456B6">
        <w:t>).</w:t>
      </w:r>
      <w:r w:rsidR="00E456B6">
        <w:t xml:space="preserve"> Zásobníky jsou zapojené v sérii. Teplota v každé nádrži je měřena čtyřmi teploměry, což umožňuje monitorovat stav akumulace. Zapojení pomocí 2-cestných ventilů umožňuje současné nabíjení akumulačních zásobníků a distribuci tepla do soustavy, popř. pro ohřev teplé vody. </w:t>
      </w:r>
    </w:p>
    <w:p w:rsidR="00E456B6" w:rsidRDefault="00E456B6">
      <w:r>
        <w:t>V zimním období se nepředpokládá, že bude docházet k častému využívání zásobníků. Teplo bude ihned spotřebováno, jelikož tepelná potřeba budovy je po většinu času vyšší než tepelný výkon kogenerační jednotky.</w:t>
      </w:r>
    </w:p>
    <w:p w:rsidR="00F34C8F" w:rsidRDefault="00F34C8F">
      <w:r>
        <w:t>V přechodném a letním období je naopak tepelná potřeba budovy nižší než tepelný výkon kogenerační jednotky. V tomto režimu se bude tepelný výkon kogenerační jednotky, nebo jeho část ukládat do akumulačních zásobníků. Při nabití zásobníku, dojde k vypnutí kogenerační jednotky a distribuci tepla do soustavy (popř. pro ohřev teplé vody) ze zásobníků.</w:t>
      </w:r>
    </w:p>
    <w:p w:rsidR="00D42711" w:rsidRDefault="00F34C8F">
      <w:r>
        <w:t xml:space="preserve">Pro snížení tepelných ztrát rozvodů v období, kdy se nevytápí, je navržena propojka přímo mezi kogenerační jednotkou a podružným rozdělovačem teplé vody (opět viz </w:t>
      </w:r>
      <w:r>
        <w:fldChar w:fldCharType="begin"/>
      </w:r>
      <w:r>
        <w:instrText xml:space="preserve"> REF _Ref58248604 \h </w:instrText>
      </w:r>
      <w:r>
        <w:fldChar w:fldCharType="separate"/>
      </w:r>
      <w:r w:rsidR="00816426" w:rsidRPr="002410EE">
        <w:t xml:space="preserve">Příloha č. </w:t>
      </w:r>
      <w:r w:rsidR="00816426">
        <w:rPr>
          <w:noProof/>
        </w:rPr>
        <w:t>13</w:t>
      </w:r>
      <w:r>
        <w:fldChar w:fldCharType="end"/>
      </w:r>
      <w:r>
        <w:t xml:space="preserve">). Nedojde tedy k ohřevu centrálního rozdělovače. </w:t>
      </w:r>
      <w:r w:rsidR="00D42711">
        <w:br w:type="page"/>
      </w:r>
    </w:p>
    <w:tbl>
      <w:tblPr>
        <w:tblStyle w:val="Mkatabulky"/>
        <w:tblW w:w="0" w:type="auto"/>
        <w:tblLook w:val="04A0" w:firstRow="1" w:lastRow="0" w:firstColumn="1" w:lastColumn="0" w:noHBand="0" w:noVBand="1"/>
      </w:tblPr>
      <w:tblGrid>
        <w:gridCol w:w="9212"/>
      </w:tblGrid>
      <w:tr w:rsidR="006C64BF" w:rsidTr="00B17630">
        <w:tc>
          <w:tcPr>
            <w:tcW w:w="9212" w:type="dxa"/>
            <w:tcBorders>
              <w:top w:val="nil"/>
              <w:left w:val="nil"/>
              <w:bottom w:val="nil"/>
              <w:right w:val="nil"/>
            </w:tcBorders>
          </w:tcPr>
          <w:p w:rsidR="006C64BF" w:rsidRDefault="006C64BF" w:rsidP="00B17630">
            <w:pPr>
              <w:keepNext/>
              <w:jc w:val="center"/>
            </w:pPr>
            <w:r>
              <w:rPr>
                <w:noProof/>
                <w:lang w:eastAsia="cs-CZ"/>
              </w:rPr>
              <w:drawing>
                <wp:inline distT="0" distB="0" distL="0" distR="0" wp14:anchorId="289FF860" wp14:editId="1C083C84">
                  <wp:extent cx="2212306" cy="382585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ZÁSOBNÍK_TV.jpg"/>
                          <pic:cNvPicPr/>
                        </pic:nvPicPr>
                        <pic:blipFill rotWithShape="1">
                          <a:blip r:embed="rId45" cstate="print">
                            <a:extLst>
                              <a:ext uri="{28A0092B-C50C-407E-A947-70E740481C1C}">
                                <a14:useLocalDpi xmlns:a14="http://schemas.microsoft.com/office/drawing/2010/main" val="0"/>
                              </a:ext>
                            </a:extLst>
                          </a:blip>
                          <a:srcRect l="22900"/>
                          <a:stretch/>
                        </pic:blipFill>
                        <pic:spPr bwMode="auto">
                          <a:xfrm>
                            <a:off x="0" y="0"/>
                            <a:ext cx="2243723" cy="3880180"/>
                          </a:xfrm>
                          <a:prstGeom prst="rect">
                            <a:avLst/>
                          </a:prstGeom>
                          <a:ln>
                            <a:noFill/>
                          </a:ln>
                          <a:extLst>
                            <a:ext uri="{53640926-AAD7-44D8-BBD7-CCE9431645EC}">
                              <a14:shadowObscured xmlns:a14="http://schemas.microsoft.com/office/drawing/2010/main"/>
                            </a:ext>
                          </a:extLst>
                        </pic:spPr>
                      </pic:pic>
                    </a:graphicData>
                  </a:graphic>
                </wp:inline>
              </w:drawing>
            </w:r>
          </w:p>
        </w:tc>
      </w:tr>
      <w:tr w:rsidR="006C64BF" w:rsidTr="00B17630">
        <w:tc>
          <w:tcPr>
            <w:tcW w:w="9212" w:type="dxa"/>
            <w:tcBorders>
              <w:top w:val="nil"/>
              <w:left w:val="nil"/>
              <w:bottom w:val="nil"/>
              <w:right w:val="nil"/>
            </w:tcBorders>
          </w:tcPr>
          <w:p w:rsidR="006C64BF" w:rsidRDefault="006C64BF" w:rsidP="009D0440">
            <w:pPr>
              <w:pStyle w:val="Obrzek"/>
              <w:keepNext w:val="0"/>
            </w:pPr>
            <w:bookmarkStart w:id="97" w:name="_Ref56349332"/>
            <w:r>
              <w:t xml:space="preserve">Obr. </w:t>
            </w:r>
            <w:fldSimple w:instr=" SEQ Obr. \* ARABIC ">
              <w:r w:rsidR="00816426">
                <w:rPr>
                  <w:noProof/>
                </w:rPr>
                <w:t>13</w:t>
              </w:r>
            </w:fldSimple>
            <w:bookmarkEnd w:id="97"/>
            <w:r>
              <w:t xml:space="preserve"> Jediný ze tří původních zásobníku TV (10 m</w:t>
            </w:r>
            <w:r w:rsidRPr="00814A84">
              <w:rPr>
                <w:vertAlign w:val="superscript"/>
              </w:rPr>
              <w:t>3</w:t>
            </w:r>
            <w:r>
              <w:t>), označen jako zásobník č. 3, který je v současnosti používán (foto Bres spol. s r. o.)</w:t>
            </w:r>
          </w:p>
        </w:tc>
      </w:tr>
    </w:tbl>
    <w:p w:rsidR="00305B52" w:rsidRDefault="00305B52" w:rsidP="00370BDE">
      <w:pPr>
        <w:pStyle w:val="Nadpis3"/>
      </w:pPr>
      <w:bookmarkStart w:id="98" w:name="_Toc58949371"/>
      <w:r>
        <w:t>Měření a regulace</w:t>
      </w:r>
      <w:bookmarkEnd w:id="98"/>
    </w:p>
    <w:p w:rsidR="00305B52" w:rsidRDefault="00F259F5" w:rsidP="00305B52">
      <w:r>
        <w:t>Ovládání čerpadel, 3-cestných, resp. 2-cestných ventilů apod. zajistí nadřazený regulační systém, který je dodávkou profese MaR. Komunikačním protokolem je BAC</w:t>
      </w:r>
      <w:r w:rsidR="006C015D">
        <w:t>net</w:t>
      </w:r>
      <w:r>
        <w:t>. Kogenerační jednotka bude vybavena certifikovaným měřením elektrického výkonu na svorkách generátoru.</w:t>
      </w:r>
    </w:p>
    <w:p w:rsidR="00305B52" w:rsidRDefault="00305B52" w:rsidP="00305B52">
      <w:r>
        <w:t xml:space="preserve">Požadovanou podmínku dle metodického pokynu (viz </w:t>
      </w:r>
      <w:r>
        <w:fldChar w:fldCharType="begin"/>
      </w:r>
      <w:r>
        <w:instrText xml:space="preserve"> REF _Ref56065056 \h </w:instrText>
      </w:r>
      <w:r>
        <w:fldChar w:fldCharType="separate"/>
      </w:r>
      <w:r w:rsidR="00816426" w:rsidRPr="002410EE">
        <w:t xml:space="preserve">Příloha č. </w:t>
      </w:r>
      <w:r w:rsidR="00816426">
        <w:rPr>
          <w:noProof/>
        </w:rPr>
        <w:t>1</w:t>
      </w:r>
      <w:r>
        <w:fldChar w:fldCharType="end"/>
      </w:r>
      <w:r>
        <w:t>) je také průběžný monitoring provozu KGJ. Nadřazený řídicí systém KGJ musí zaznamenávat a archivovat následující provozní parametry:</w:t>
      </w:r>
    </w:p>
    <w:p w:rsidR="00305B52" w:rsidRDefault="00305B52" w:rsidP="00305B52">
      <w:pPr>
        <w:pStyle w:val="Odstavecseseznamem"/>
        <w:numPr>
          <w:ilvl w:val="0"/>
          <w:numId w:val="30"/>
        </w:numPr>
      </w:pPr>
      <w:r>
        <w:t>spotřeba paliva</w:t>
      </w:r>
    </w:p>
    <w:p w:rsidR="00305B52" w:rsidRDefault="00305B52" w:rsidP="00305B52">
      <w:pPr>
        <w:pStyle w:val="Odstavecseseznamem"/>
        <w:numPr>
          <w:ilvl w:val="0"/>
          <w:numId w:val="30"/>
        </w:numPr>
      </w:pPr>
      <w:r>
        <w:t>vyrobené množství elektřiny</w:t>
      </w:r>
    </w:p>
    <w:p w:rsidR="00305B52" w:rsidRDefault="00305B52" w:rsidP="00305B52">
      <w:pPr>
        <w:pStyle w:val="Odstavecseseznamem"/>
        <w:numPr>
          <w:ilvl w:val="0"/>
          <w:numId w:val="30"/>
        </w:numPr>
      </w:pPr>
      <w:r>
        <w:t>vyrobené množství tepla</w:t>
      </w:r>
    </w:p>
    <w:p w:rsidR="00305B52" w:rsidRDefault="00305B52" w:rsidP="00305B52">
      <w:pPr>
        <w:pStyle w:val="Odstavecseseznamem"/>
        <w:numPr>
          <w:ilvl w:val="0"/>
          <w:numId w:val="30"/>
        </w:numPr>
      </w:pPr>
      <w:r>
        <w:t>objemový po</w:t>
      </w:r>
      <w:r w:rsidR="0013470C">
        <w:t>díl kyslíku (O2) ve spalinách</w:t>
      </w:r>
    </w:p>
    <w:p w:rsidR="0013470C" w:rsidRDefault="0013470C" w:rsidP="00305B52">
      <w:pPr>
        <w:pStyle w:val="Odstavecseseznamem"/>
        <w:numPr>
          <w:ilvl w:val="0"/>
          <w:numId w:val="30"/>
        </w:numPr>
      </w:pPr>
      <w:r>
        <w:t>koncentrace oxidů dusíku (NOX) ve spalinách, vyjádřených jako NO2</w:t>
      </w:r>
    </w:p>
    <w:p w:rsidR="0013470C" w:rsidRDefault="0013470C" w:rsidP="00305B52">
      <w:pPr>
        <w:pStyle w:val="Odstavecseseznamem"/>
        <w:numPr>
          <w:ilvl w:val="0"/>
          <w:numId w:val="30"/>
        </w:numPr>
      </w:pPr>
      <w:r>
        <w:t>teplotu spalin</w:t>
      </w:r>
    </w:p>
    <w:p w:rsidR="0013470C" w:rsidRDefault="0013470C" w:rsidP="00305B52">
      <w:pPr>
        <w:pStyle w:val="Odstavecseseznamem"/>
        <w:numPr>
          <w:ilvl w:val="0"/>
          <w:numId w:val="30"/>
        </w:numPr>
      </w:pPr>
      <w:r>
        <w:t>provozní hodiny</w:t>
      </w:r>
    </w:p>
    <w:p w:rsidR="00325741" w:rsidRDefault="00325741" w:rsidP="00325741">
      <w:r>
        <w:t>Měření spotřeby paliva bude zajištěno plynoměrem, vyrobené množství elektřiny elektroměrem, vyrobené množství tepla měřičem tepla. Objemový podíl kyslíku ve spalinách bude odečten z kyslíkové sondy, NO</w:t>
      </w:r>
      <w:r w:rsidRPr="00325741">
        <w:rPr>
          <w:vertAlign w:val="subscript"/>
        </w:rPr>
        <w:t>X</w:t>
      </w:r>
      <w:r>
        <w:t xml:space="preserve"> z měřidla, které bude připojeno online. </w:t>
      </w:r>
      <w:r w:rsidR="006C015D">
        <w:t>Měřidlo NO</w:t>
      </w:r>
      <w:r w:rsidR="006C015D" w:rsidRPr="00325741">
        <w:rPr>
          <w:vertAlign w:val="subscript"/>
        </w:rPr>
        <w:t>X</w:t>
      </w:r>
      <w:r w:rsidR="006C015D">
        <w:t xml:space="preserve"> je zapotřebí kalibrovat. </w:t>
      </w:r>
      <w:r>
        <w:t xml:space="preserve">Teplota spalin bude zjištěna pomocí převodníku Gateway, který je dodáván ke kogenerační jednotce. </w:t>
      </w:r>
    </w:p>
    <w:p w:rsidR="006C015D" w:rsidRPr="00325741" w:rsidRDefault="006C015D" w:rsidP="00325741">
      <w:r>
        <w:t>Komunikační protokoly, které výrobce u kogenerační jednotky využívá, jsou Modbus RTU – RS-232, Modbus RTU – RS-485, Modbus TCP a LON BUS. Převod na BACnet bude zajištěn pomocí převodníku.</w:t>
      </w:r>
    </w:p>
    <w:p w:rsidR="00370BDE" w:rsidRDefault="00370BDE" w:rsidP="00370BDE">
      <w:pPr>
        <w:pStyle w:val="Nadpis3"/>
      </w:pPr>
      <w:bookmarkStart w:id="99" w:name="_Toc58949372"/>
      <w:r>
        <w:t>Vyvedení elektrického výkonu</w:t>
      </w:r>
      <w:bookmarkEnd w:id="99"/>
    </w:p>
    <w:p w:rsidR="00D75051" w:rsidRDefault="00D75051" w:rsidP="00D75051">
      <w:bookmarkStart w:id="100" w:name="_Ref56430261"/>
      <w:r>
        <w:t xml:space="preserve">Elektrický výkon navržené kogenerační jednotky je 263 kW. Při pohledu </w:t>
      </w:r>
      <w:r w:rsidR="00477A65">
        <w:t xml:space="preserve">na zpracované bilance </w:t>
      </w:r>
      <w:r>
        <w:t xml:space="preserve">je patrné, že potřebný elektrický výkon je vždy vyšší a celý výkon tak bude spotřebován v místě produkce (nebude docházet k prodeji do sítě). </w:t>
      </w:r>
    </w:p>
    <w:p w:rsidR="00D75051" w:rsidRDefault="00D75051" w:rsidP="00D75051">
      <w:r>
        <w:t xml:space="preserve">Technické údaje výrobní jednotky elektrické energie jsou uvedeny v </w:t>
      </w:r>
      <w:r>
        <w:fldChar w:fldCharType="begin"/>
      </w:r>
      <w:r>
        <w:instrText xml:space="preserve"> REF _Ref56352354 \h </w:instrText>
      </w:r>
      <w:r>
        <w:fldChar w:fldCharType="separate"/>
      </w:r>
      <w:r w:rsidR="00816426">
        <w:t xml:space="preserve">Tab. </w:t>
      </w:r>
      <w:r w:rsidR="00816426">
        <w:rPr>
          <w:noProof/>
        </w:rPr>
        <w:t>15</w:t>
      </w:r>
      <w:r>
        <w:fldChar w:fldCharType="end"/>
      </w:r>
      <w:r>
        <w:t>.</w:t>
      </w:r>
    </w:p>
    <w:p w:rsidR="00D75051" w:rsidRDefault="00D75051" w:rsidP="00D75051">
      <w:pPr>
        <w:pStyle w:val="Tabulka"/>
      </w:pPr>
      <w:bookmarkStart w:id="101" w:name="_Ref56352354"/>
      <w:r>
        <w:t xml:space="preserve">Tab. </w:t>
      </w:r>
      <w:fldSimple w:instr=" SEQ Tab. \* ARABIC ">
        <w:r w:rsidR="00816426">
          <w:rPr>
            <w:noProof/>
          </w:rPr>
          <w:t>15</w:t>
        </w:r>
      </w:fldSimple>
      <w:bookmarkEnd w:id="101"/>
      <w:r>
        <w:t xml:space="preserve"> Technické údaje výrobní jednotky</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2624"/>
        <w:gridCol w:w="1174"/>
        <w:gridCol w:w="1271"/>
      </w:tblGrid>
      <w:tr w:rsidR="00D75051" w:rsidTr="00B17630">
        <w:trPr>
          <w:trHeight w:val="397"/>
        </w:trPr>
        <w:tc>
          <w:tcPr>
            <w:tcW w:w="6843" w:type="dxa"/>
            <w:gridSpan w:val="2"/>
            <w:vAlign w:val="center"/>
          </w:tcPr>
          <w:p w:rsidR="00D75051" w:rsidRDefault="00D75051" w:rsidP="00B17630">
            <w:pPr>
              <w:keepNext/>
              <w:spacing w:before="0" w:after="0"/>
              <w:jc w:val="left"/>
              <w:rPr>
                <w:lang w:val="en-US"/>
              </w:rPr>
            </w:pPr>
            <w:r>
              <w:t>Vyměřovací činný výkon Pe max</w:t>
            </w:r>
          </w:p>
        </w:tc>
        <w:tc>
          <w:tcPr>
            <w:tcW w:w="1174" w:type="dxa"/>
            <w:vAlign w:val="center"/>
          </w:tcPr>
          <w:p w:rsidR="00D75051" w:rsidRPr="00A45C44" w:rsidRDefault="00D75051" w:rsidP="00B17630">
            <w:pPr>
              <w:keepNext/>
              <w:spacing w:before="0" w:after="0"/>
              <w:jc w:val="center"/>
            </w:pPr>
            <w:r>
              <w:rPr>
                <w:lang w:val="en-US"/>
              </w:rPr>
              <w:t>[kW]</w:t>
            </w:r>
          </w:p>
        </w:tc>
        <w:tc>
          <w:tcPr>
            <w:tcW w:w="1271" w:type="dxa"/>
            <w:vAlign w:val="center"/>
          </w:tcPr>
          <w:p w:rsidR="00D75051" w:rsidRDefault="00D75051" w:rsidP="00B17630">
            <w:pPr>
              <w:keepNext/>
              <w:spacing w:before="0" w:after="0"/>
              <w:jc w:val="right"/>
            </w:pPr>
            <w:r>
              <w:t>263</w:t>
            </w:r>
          </w:p>
        </w:tc>
      </w:tr>
      <w:tr w:rsidR="00D75051" w:rsidTr="00B17630">
        <w:trPr>
          <w:trHeight w:val="397"/>
        </w:trPr>
        <w:tc>
          <w:tcPr>
            <w:tcW w:w="4219" w:type="dxa"/>
            <w:vAlign w:val="center"/>
          </w:tcPr>
          <w:p w:rsidR="00D75051" w:rsidRDefault="00D75051" w:rsidP="00B17630">
            <w:pPr>
              <w:keepNext/>
              <w:spacing w:before="0" w:after="0"/>
              <w:jc w:val="left"/>
            </w:pPr>
            <w:r>
              <w:t>Vyměřovací zdánlivý výkon Se max</w:t>
            </w:r>
          </w:p>
        </w:tc>
        <w:tc>
          <w:tcPr>
            <w:tcW w:w="2624" w:type="dxa"/>
            <w:vAlign w:val="center"/>
          </w:tcPr>
          <w:p w:rsidR="00D75051" w:rsidRDefault="00D75051" w:rsidP="00B17630">
            <w:pPr>
              <w:keepNext/>
              <w:spacing w:before="0" w:after="0"/>
              <w:jc w:val="left"/>
              <w:rPr>
                <w:lang w:val="en-US"/>
              </w:rPr>
            </w:pPr>
            <w:r>
              <w:t xml:space="preserve">při cos </w:t>
            </w:r>
            <w:r>
              <w:rPr>
                <w:rFonts w:cs="Arial"/>
              </w:rPr>
              <w:t>φ = 0,9</w:t>
            </w:r>
          </w:p>
        </w:tc>
        <w:tc>
          <w:tcPr>
            <w:tcW w:w="1174" w:type="dxa"/>
            <w:vAlign w:val="center"/>
          </w:tcPr>
          <w:p w:rsidR="00D75051" w:rsidRPr="00A45C44" w:rsidRDefault="00D75051" w:rsidP="00B17630">
            <w:pPr>
              <w:keepNext/>
              <w:spacing w:before="0" w:after="0"/>
              <w:jc w:val="center"/>
              <w:rPr>
                <w:lang w:val="en-US"/>
              </w:rPr>
            </w:pPr>
            <w:r>
              <w:rPr>
                <w:lang w:val="en-US"/>
              </w:rPr>
              <w:t>[kVA]</w:t>
            </w:r>
          </w:p>
        </w:tc>
        <w:tc>
          <w:tcPr>
            <w:tcW w:w="1271" w:type="dxa"/>
            <w:vAlign w:val="center"/>
          </w:tcPr>
          <w:p w:rsidR="00D75051" w:rsidRDefault="00D75051" w:rsidP="00B17630">
            <w:pPr>
              <w:keepNext/>
              <w:spacing w:before="0" w:after="0"/>
              <w:jc w:val="right"/>
            </w:pPr>
            <w:r>
              <w:t>292,2</w:t>
            </w:r>
          </w:p>
        </w:tc>
      </w:tr>
      <w:tr w:rsidR="00D75051" w:rsidTr="00B17630">
        <w:trPr>
          <w:trHeight w:val="397"/>
        </w:trPr>
        <w:tc>
          <w:tcPr>
            <w:tcW w:w="4219" w:type="dxa"/>
            <w:vAlign w:val="center"/>
          </w:tcPr>
          <w:p w:rsidR="00D75051" w:rsidRDefault="00D75051" w:rsidP="00B17630">
            <w:pPr>
              <w:keepNext/>
              <w:spacing w:before="0" w:after="0"/>
              <w:jc w:val="left"/>
            </w:pPr>
            <w:r>
              <w:t>Vyměřovací napětí Ur</w:t>
            </w:r>
          </w:p>
        </w:tc>
        <w:tc>
          <w:tcPr>
            <w:tcW w:w="2624" w:type="dxa"/>
            <w:vAlign w:val="center"/>
          </w:tcPr>
          <w:p w:rsidR="00D75051" w:rsidRDefault="00D75051" w:rsidP="00B17630">
            <w:pPr>
              <w:keepNext/>
              <w:spacing w:before="0" w:after="0"/>
              <w:jc w:val="left"/>
              <w:rPr>
                <w:lang w:val="en-US"/>
              </w:rPr>
            </w:pPr>
          </w:p>
        </w:tc>
        <w:tc>
          <w:tcPr>
            <w:tcW w:w="1174" w:type="dxa"/>
            <w:vAlign w:val="center"/>
          </w:tcPr>
          <w:p w:rsidR="00D75051" w:rsidRPr="00A45C44" w:rsidRDefault="00D75051" w:rsidP="00B17630">
            <w:pPr>
              <w:keepNext/>
              <w:spacing w:before="0" w:after="0"/>
              <w:jc w:val="center"/>
            </w:pPr>
            <w:r>
              <w:rPr>
                <w:lang w:val="en-US"/>
              </w:rPr>
              <w:t>[V]</w:t>
            </w:r>
          </w:p>
        </w:tc>
        <w:tc>
          <w:tcPr>
            <w:tcW w:w="1271" w:type="dxa"/>
            <w:vAlign w:val="center"/>
          </w:tcPr>
          <w:p w:rsidR="00D75051" w:rsidRDefault="00D75051" w:rsidP="00B17630">
            <w:pPr>
              <w:keepNext/>
              <w:spacing w:before="0" w:after="0"/>
              <w:jc w:val="right"/>
            </w:pPr>
            <w:r>
              <w:t>400</w:t>
            </w:r>
          </w:p>
        </w:tc>
      </w:tr>
      <w:tr w:rsidR="00D75051" w:rsidTr="00B17630">
        <w:trPr>
          <w:trHeight w:val="397"/>
        </w:trPr>
        <w:tc>
          <w:tcPr>
            <w:tcW w:w="4219" w:type="dxa"/>
            <w:vAlign w:val="center"/>
          </w:tcPr>
          <w:p w:rsidR="00D75051" w:rsidRDefault="00D75051" w:rsidP="00B17630">
            <w:pPr>
              <w:keepNext/>
              <w:spacing w:before="0" w:after="0"/>
              <w:ind w:left="708" w:hanging="708"/>
              <w:jc w:val="left"/>
            </w:pPr>
            <w:r>
              <w:t>Vyměřovací proud (AC) Ir</w:t>
            </w:r>
          </w:p>
        </w:tc>
        <w:tc>
          <w:tcPr>
            <w:tcW w:w="2624" w:type="dxa"/>
            <w:vAlign w:val="center"/>
          </w:tcPr>
          <w:p w:rsidR="00D75051" w:rsidRDefault="00D75051" w:rsidP="00B17630">
            <w:pPr>
              <w:keepNext/>
              <w:spacing w:before="0" w:after="0"/>
              <w:jc w:val="left"/>
              <w:rPr>
                <w:lang w:val="en-US"/>
              </w:rPr>
            </w:pPr>
          </w:p>
        </w:tc>
        <w:tc>
          <w:tcPr>
            <w:tcW w:w="1174" w:type="dxa"/>
            <w:vAlign w:val="center"/>
          </w:tcPr>
          <w:p w:rsidR="00D75051" w:rsidRPr="00A45C44" w:rsidRDefault="00D75051" w:rsidP="00B17630">
            <w:pPr>
              <w:keepNext/>
              <w:spacing w:before="0" w:after="0"/>
              <w:jc w:val="center"/>
            </w:pPr>
            <w:r>
              <w:rPr>
                <w:lang w:val="en-US"/>
              </w:rPr>
              <w:t>[A]</w:t>
            </w:r>
          </w:p>
        </w:tc>
        <w:tc>
          <w:tcPr>
            <w:tcW w:w="1271" w:type="dxa"/>
            <w:vAlign w:val="center"/>
          </w:tcPr>
          <w:p w:rsidR="00D75051" w:rsidRDefault="00D75051" w:rsidP="00B17630">
            <w:pPr>
              <w:keepNext/>
              <w:spacing w:before="0" w:after="0"/>
              <w:jc w:val="right"/>
            </w:pPr>
            <w:r>
              <w:t>422,3</w:t>
            </w:r>
          </w:p>
        </w:tc>
      </w:tr>
      <w:tr w:rsidR="00D75051" w:rsidTr="00B17630">
        <w:trPr>
          <w:trHeight w:val="397"/>
        </w:trPr>
        <w:tc>
          <w:tcPr>
            <w:tcW w:w="4219" w:type="dxa"/>
            <w:vAlign w:val="center"/>
          </w:tcPr>
          <w:p w:rsidR="00D75051" w:rsidRDefault="00D75051" w:rsidP="00B17630">
            <w:pPr>
              <w:spacing w:before="0" w:after="0"/>
              <w:jc w:val="left"/>
            </w:pPr>
            <w:r>
              <w:t>Vlastní elektrická spotřeba</w:t>
            </w:r>
            <w:r>
              <w:rPr>
                <w:rStyle w:val="Znakapoznpodarou"/>
              </w:rPr>
              <w:footnoteReference w:id="4"/>
            </w:r>
          </w:p>
        </w:tc>
        <w:tc>
          <w:tcPr>
            <w:tcW w:w="2624" w:type="dxa"/>
            <w:vAlign w:val="center"/>
          </w:tcPr>
          <w:p w:rsidR="00D75051" w:rsidRDefault="00D75051" w:rsidP="00B17630">
            <w:pPr>
              <w:spacing w:before="0" w:after="0"/>
              <w:jc w:val="left"/>
              <w:rPr>
                <w:lang w:val="en-US"/>
              </w:rPr>
            </w:pPr>
            <w:r>
              <w:rPr>
                <w:lang w:val="en-US"/>
              </w:rPr>
              <w:t>jmenovitá / maximální</w:t>
            </w:r>
          </w:p>
        </w:tc>
        <w:tc>
          <w:tcPr>
            <w:tcW w:w="1174" w:type="dxa"/>
            <w:vAlign w:val="center"/>
          </w:tcPr>
          <w:p w:rsidR="00D75051" w:rsidRPr="00A45C44" w:rsidRDefault="00D75051" w:rsidP="00B17630">
            <w:pPr>
              <w:spacing w:before="0" w:after="0"/>
              <w:jc w:val="center"/>
            </w:pPr>
            <w:r>
              <w:rPr>
                <w:lang w:val="en-US"/>
              </w:rPr>
              <w:t>[kW]</w:t>
            </w:r>
          </w:p>
        </w:tc>
        <w:tc>
          <w:tcPr>
            <w:tcW w:w="1271" w:type="dxa"/>
            <w:vAlign w:val="center"/>
          </w:tcPr>
          <w:p w:rsidR="00D75051" w:rsidRDefault="00D75051" w:rsidP="00B17630">
            <w:pPr>
              <w:spacing w:before="0" w:after="0"/>
              <w:jc w:val="right"/>
            </w:pPr>
            <w:r>
              <w:t>5,9 / 8,5</w:t>
            </w:r>
          </w:p>
        </w:tc>
      </w:tr>
    </w:tbl>
    <w:p w:rsidR="00F259F5" w:rsidRDefault="00F259F5" w:rsidP="00F259F5">
      <w:r>
        <w:t xml:space="preserve">Kogenerační jednotka se synchronním generátorem o elektrickém výkonu 263 kW pracuje na napětí 400 V. Kogenerační jednotka bude mít nový samostatný rozvaděč. V souvislosti s doplněním nové kogenerační jednotky KGJ bude nutné kromě rozvaděče NN doplnit do prostoru kotelny a vstupní trafostanice také zařízení pro dálkové propojení výkonu kogenerační jednotky signálem HDO. </w:t>
      </w:r>
    </w:p>
    <w:p w:rsidR="00D75051" w:rsidRDefault="00D75051" w:rsidP="00D75051">
      <w:r>
        <w:t xml:space="preserve">Pro vyvedení elektrického výkonu bude sloužit </w:t>
      </w:r>
      <w:r w:rsidR="00F259F5">
        <w:t xml:space="preserve">transformátorové </w:t>
      </w:r>
      <w:r>
        <w:t xml:space="preserve">pole 2RH3_01 (viz </w:t>
      </w:r>
      <w:r>
        <w:fldChar w:fldCharType="begin"/>
      </w:r>
      <w:r>
        <w:instrText xml:space="preserve"> REF _Ref56448721 \h </w:instrText>
      </w:r>
      <w:r>
        <w:fldChar w:fldCharType="separate"/>
      </w:r>
      <w:r w:rsidR="00816426">
        <w:t xml:space="preserve">Obr. </w:t>
      </w:r>
      <w:r w:rsidR="00816426">
        <w:rPr>
          <w:noProof/>
        </w:rPr>
        <w:t>14</w:t>
      </w:r>
      <w:r>
        <w:fldChar w:fldCharType="end"/>
      </w:r>
      <w:r>
        <w:t xml:space="preserve">). </w:t>
      </w:r>
    </w:p>
    <w:p w:rsidR="00D75051" w:rsidRDefault="00D75051" w:rsidP="00D75051">
      <w:r>
        <w:t>Odhadovaná cena vyvedení elektrického výkonu je 300 tis. Kč bez DPH.</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30"/>
      </w:tblGrid>
      <w:tr w:rsidR="00D75051" w:rsidTr="00B17630">
        <w:tc>
          <w:tcPr>
            <w:tcW w:w="4658" w:type="dxa"/>
          </w:tcPr>
          <w:p w:rsidR="00D75051" w:rsidRDefault="00D75051" w:rsidP="00B17630">
            <w:pPr>
              <w:keepNext/>
            </w:pPr>
            <w:r>
              <w:rPr>
                <w:noProof/>
                <w:lang w:eastAsia="cs-CZ"/>
              </w:rPr>
              <w:drawing>
                <wp:inline distT="0" distB="0" distL="0" distR="0" wp14:anchorId="03064BEE" wp14:editId="239B90E0">
                  <wp:extent cx="3473392" cy="1953877"/>
                  <wp:effectExtent l="0" t="762000" r="0" b="73279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RANSFORMÁTOROVÉ_POLE_UVNITŘ.JPG"/>
                          <pic:cNvPicPr/>
                        </pic:nvPicPr>
                        <pic:blipFill>
                          <a:blip r:embed="rId46" cstate="print">
                            <a:extLst>
                              <a:ext uri="{28A0092B-C50C-407E-A947-70E740481C1C}">
                                <a14:useLocalDpi xmlns:a14="http://schemas.microsoft.com/office/drawing/2010/main" val="0"/>
                              </a:ext>
                            </a:extLst>
                          </a:blip>
                          <a:stretch>
                            <a:fillRect/>
                          </a:stretch>
                        </pic:blipFill>
                        <pic:spPr>
                          <a:xfrm rot="5400000">
                            <a:off x="0" y="0"/>
                            <a:ext cx="3687673" cy="2074416"/>
                          </a:xfrm>
                          <a:prstGeom prst="rect">
                            <a:avLst/>
                          </a:prstGeom>
                        </pic:spPr>
                      </pic:pic>
                    </a:graphicData>
                  </a:graphic>
                </wp:inline>
              </w:drawing>
            </w:r>
          </w:p>
        </w:tc>
        <w:tc>
          <w:tcPr>
            <w:tcW w:w="4630" w:type="dxa"/>
          </w:tcPr>
          <w:p w:rsidR="00D75051" w:rsidRDefault="00D75051" w:rsidP="00B17630">
            <w:pPr>
              <w:jc w:val="left"/>
              <w:rPr>
                <w:noProof/>
                <w:lang w:eastAsia="cs-CZ"/>
              </w:rPr>
            </w:pPr>
            <w:r>
              <w:rPr>
                <w:noProof/>
                <w:lang w:eastAsia="cs-CZ"/>
              </w:rPr>
              <w:drawing>
                <wp:inline distT="0" distB="0" distL="0" distR="0" wp14:anchorId="2211A9AF" wp14:editId="1AA773EC">
                  <wp:extent cx="3450858" cy="1941046"/>
                  <wp:effectExtent l="0" t="762000" r="0" b="72644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RANSFORMÁTOROVÉ_POLE_ZVENKU.JPG"/>
                          <pic:cNvPicPr/>
                        </pic:nvPicPr>
                        <pic:blipFill>
                          <a:blip r:embed="rId47" cstate="print">
                            <a:extLst>
                              <a:ext uri="{28A0092B-C50C-407E-A947-70E740481C1C}">
                                <a14:useLocalDpi xmlns:a14="http://schemas.microsoft.com/office/drawing/2010/main" val="0"/>
                              </a:ext>
                            </a:extLst>
                          </a:blip>
                          <a:stretch>
                            <a:fillRect/>
                          </a:stretch>
                        </pic:blipFill>
                        <pic:spPr>
                          <a:xfrm rot="5400000">
                            <a:off x="0" y="0"/>
                            <a:ext cx="3495164" cy="1965967"/>
                          </a:xfrm>
                          <a:prstGeom prst="rect">
                            <a:avLst/>
                          </a:prstGeom>
                        </pic:spPr>
                      </pic:pic>
                    </a:graphicData>
                  </a:graphic>
                </wp:inline>
              </w:drawing>
            </w:r>
          </w:p>
        </w:tc>
      </w:tr>
      <w:tr w:rsidR="00D75051" w:rsidTr="00B17630">
        <w:tc>
          <w:tcPr>
            <w:tcW w:w="9288" w:type="dxa"/>
            <w:gridSpan w:val="2"/>
          </w:tcPr>
          <w:p w:rsidR="00D75051" w:rsidRDefault="00D75051" w:rsidP="00F259F5">
            <w:pPr>
              <w:pStyle w:val="Obrzek"/>
            </w:pPr>
            <w:bookmarkStart w:id="102" w:name="_Ref56448721"/>
            <w:r>
              <w:t xml:space="preserve">Obr. </w:t>
            </w:r>
            <w:fldSimple w:instr=" SEQ Obr. \* ARABIC ">
              <w:r w:rsidR="00816426">
                <w:rPr>
                  <w:noProof/>
                </w:rPr>
                <w:t>14</w:t>
              </w:r>
            </w:fldSimple>
            <w:bookmarkEnd w:id="102"/>
            <w:r>
              <w:t xml:space="preserve"> </w:t>
            </w:r>
            <w:r w:rsidR="00F259F5">
              <w:t>Transformátorové pole</w:t>
            </w:r>
            <w:r>
              <w:t xml:space="preserve"> 2RH3_01 sloužící k vyvedení elektrického výkonu (foto Bres spol. s r. o.)</w:t>
            </w:r>
          </w:p>
        </w:tc>
      </w:tr>
    </w:tbl>
    <w:p w:rsidR="00370BDE" w:rsidRDefault="00370BDE" w:rsidP="00370BDE">
      <w:pPr>
        <w:pStyle w:val="Nadpis3"/>
      </w:pPr>
      <w:bookmarkStart w:id="103" w:name="_Toc58949373"/>
      <w:r>
        <w:t>Větrání kotelny</w:t>
      </w:r>
      <w:bookmarkEnd w:id="100"/>
      <w:bookmarkEnd w:id="103"/>
    </w:p>
    <w:p w:rsidR="006152B4" w:rsidRPr="00110047" w:rsidRDefault="006152B4" w:rsidP="006152B4">
      <w:r>
        <w:t xml:space="preserve">Větrání kotelny je nutné navrhnout tak, aby poskytlo dostatečné množství spalovacího a větracího vzduchu. V případě varianty B je v kotelně 3S302B spolu s KGJ (příkon v palivu 693 kW) pouze modulovatelný kotel </w:t>
      </w:r>
      <w:r w:rsidR="00944689">
        <w:t xml:space="preserve">K1 o výkonu 530 kW (max výkon hořáku </w:t>
      </w:r>
      <w:r w:rsidR="00944689" w:rsidRPr="00944689">
        <w:rPr>
          <w:b/>
        </w:rPr>
        <w:t>350 kW</w:t>
      </w:r>
      <w:r w:rsidR="00944689">
        <w:t xml:space="preserve"> – s touto hodnotou počítáno).</w:t>
      </w:r>
      <w:r>
        <w:t xml:space="preserve"> Výpočet je proveden dle normy „ČSN 07 0703 (Z6) Plynové kotelny“. Stávající větrání zajišťuje přívod </w:t>
      </w:r>
      <w:r w:rsidR="007B1BFB">
        <w:t>5 0</w:t>
      </w:r>
      <w:r>
        <w:t>00 m</w:t>
      </w:r>
      <w:r w:rsidRPr="00110047">
        <w:rPr>
          <w:vertAlign w:val="superscript"/>
        </w:rPr>
        <w:t>3</w:t>
      </w:r>
      <w:r>
        <w:t>·h</w:t>
      </w:r>
      <w:r w:rsidRPr="00110047">
        <w:rPr>
          <w:vertAlign w:val="superscript"/>
        </w:rPr>
        <w:t>-1</w:t>
      </w:r>
      <w:r>
        <w:t>.</w:t>
      </w:r>
    </w:p>
    <w:p w:rsidR="00F44160" w:rsidRPr="00683B5B" w:rsidRDefault="00F44160" w:rsidP="00F259F5">
      <w:pPr>
        <w:keepNext/>
        <w:rPr>
          <w:b/>
        </w:rPr>
      </w:pPr>
      <w:r w:rsidRPr="00683B5B">
        <w:rPr>
          <w:b/>
        </w:rPr>
        <w:t>Spalovací vzduch</w:t>
      </w:r>
      <w:r w:rsidR="007E5C97">
        <w:rPr>
          <w:b/>
        </w:rPr>
        <w:t xml:space="preserve"> (kotelna 1 – místnost 3S302B)</w:t>
      </w:r>
    </w:p>
    <w:p w:rsidR="00F44160" w:rsidRPr="003C4334" w:rsidRDefault="00F44160" w:rsidP="00F44160">
      <w:pPr>
        <w:rPr>
          <w:b/>
        </w:rPr>
      </w:pPr>
      <w:r>
        <w:t xml:space="preserve">V zimě </w:t>
      </w:r>
      <w:r w:rsidR="00385843">
        <w:t xml:space="preserve">i v květnu </w:t>
      </w:r>
      <w:r>
        <w:t xml:space="preserve">je v případě varianty </w:t>
      </w:r>
      <w:r w:rsidR="007267E6">
        <w:t>B</w:t>
      </w:r>
      <w:r>
        <w:t xml:space="preserve"> nutné</w:t>
      </w:r>
      <w:r w:rsidR="007E5C97">
        <w:t xml:space="preserve"> v kotelně 1</w:t>
      </w:r>
      <w:r>
        <w:t xml:space="preserve"> uvažovat provoz </w:t>
      </w:r>
      <w:r w:rsidR="007E5C97">
        <w:t>kotle K1</w:t>
      </w:r>
      <w:r w:rsidR="007267E6">
        <w:t xml:space="preserve"> i KGJ</w:t>
      </w:r>
      <w:r>
        <w:t>.</w:t>
      </w:r>
      <w:r w:rsidR="007267E6">
        <w:t xml:space="preserve"> </w:t>
      </w:r>
      <w:r w:rsidR="007267E6" w:rsidRPr="003C4334">
        <w:rPr>
          <w:b/>
        </w:rPr>
        <w:t>Provoz KGJ přes léto (červenec) je u varianty B minimální, proto budou brány za referenční hodnoty spalovacího a větracího vzduchu brány květnové vypočítané hodnoty.</w:t>
      </w:r>
    </w:p>
    <w:p w:rsidR="00F44160" w:rsidRDefault="00F44160" w:rsidP="00F44160">
      <w:pPr>
        <w:rPr>
          <w:b/>
        </w:rPr>
      </w:pPr>
      <w:r>
        <w:t xml:space="preserve">Spotřebu zemního plynu oběma spotřebiči, průtok spalovacího vzduchu pro oba spotřebiče jsou uvedeny v </w:t>
      </w:r>
      <w:r>
        <w:fldChar w:fldCharType="begin"/>
      </w:r>
      <w:r>
        <w:instrText xml:space="preserve"> REF _Ref56496046 \h </w:instrText>
      </w:r>
      <w:r>
        <w:fldChar w:fldCharType="separate"/>
      </w:r>
      <w:r w:rsidR="00816426">
        <w:t xml:space="preserve">Tab. </w:t>
      </w:r>
      <w:r w:rsidR="00816426">
        <w:rPr>
          <w:noProof/>
        </w:rPr>
        <w:t>16</w:t>
      </w:r>
      <w:r>
        <w:fldChar w:fldCharType="end"/>
      </w:r>
      <w:r>
        <w:t>.</w:t>
      </w:r>
      <w:r w:rsidR="007267E6">
        <w:t xml:space="preserve"> </w:t>
      </w:r>
      <w:r w:rsidR="007267E6" w:rsidRPr="007267E6">
        <w:rPr>
          <w:b/>
        </w:rPr>
        <w:t>Teplota přívodního vzduchu do kotelny je ohřívačem upraven</w:t>
      </w:r>
      <w:r w:rsidR="007267E6">
        <w:rPr>
          <w:b/>
        </w:rPr>
        <w:t>a</w:t>
      </w:r>
      <w:r w:rsidR="007267E6" w:rsidRPr="007267E6">
        <w:rPr>
          <w:b/>
        </w:rPr>
        <w:t xml:space="preserve"> vždy na min. 15 °C.</w:t>
      </w:r>
    </w:p>
    <w:p w:rsidR="00F44160" w:rsidRDefault="00F44160" w:rsidP="00F44160">
      <w:pPr>
        <w:pStyle w:val="Tabulka"/>
      </w:pPr>
      <w:bookmarkStart w:id="104" w:name="_Ref56496046"/>
      <w:r>
        <w:t xml:space="preserve">Tab. </w:t>
      </w:r>
      <w:fldSimple w:instr=" SEQ Tab. \* ARABIC ">
        <w:r w:rsidR="00816426">
          <w:rPr>
            <w:noProof/>
          </w:rPr>
          <w:t>16</w:t>
        </w:r>
      </w:fldSimple>
      <w:bookmarkEnd w:id="104"/>
      <w:r>
        <w:t xml:space="preserve"> Spotřeba zemního plynu a průtok spalovacího vzduchu – varianta B</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6468"/>
        <w:gridCol w:w="729"/>
        <w:gridCol w:w="1133"/>
        <w:gridCol w:w="958"/>
      </w:tblGrid>
      <w:tr w:rsidR="00F44160" w:rsidTr="00374A8B">
        <w:trPr>
          <w:trHeight w:val="397"/>
        </w:trPr>
        <w:tc>
          <w:tcPr>
            <w:tcW w:w="6468" w:type="dxa"/>
            <w:vAlign w:val="center"/>
          </w:tcPr>
          <w:p w:rsidR="00F44160" w:rsidRDefault="00F44160" w:rsidP="002A75A0">
            <w:pPr>
              <w:keepNext/>
              <w:spacing w:before="0" w:after="0"/>
              <w:jc w:val="left"/>
            </w:pPr>
            <w:r>
              <w:t>Spotřeba zemního plynu kotlem K1</w:t>
            </w:r>
          </w:p>
        </w:tc>
        <w:tc>
          <w:tcPr>
            <w:tcW w:w="729" w:type="dxa"/>
            <w:vAlign w:val="center"/>
          </w:tcPr>
          <w:p w:rsidR="00F44160" w:rsidRDefault="00F44160" w:rsidP="002A75A0">
            <w:pPr>
              <w:keepNext/>
              <w:spacing w:before="0" w:after="0"/>
              <w:jc w:val="center"/>
            </w:pPr>
            <w:r>
              <w:t>V</w:t>
            </w:r>
            <w:r w:rsidRPr="00235052">
              <w:rPr>
                <w:vertAlign w:val="subscript"/>
              </w:rPr>
              <w:t>P</w:t>
            </w:r>
            <w:r w:rsidR="00374A8B">
              <w:rPr>
                <w:vertAlign w:val="subscript"/>
              </w:rPr>
              <w:t>K</w:t>
            </w:r>
            <w:r w:rsidRPr="00235052">
              <w:rPr>
                <w:vertAlign w:val="subscript"/>
              </w:rPr>
              <w:t>1</w:t>
            </w:r>
          </w:p>
        </w:tc>
        <w:tc>
          <w:tcPr>
            <w:tcW w:w="1133" w:type="dxa"/>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vAlign w:val="center"/>
          </w:tcPr>
          <w:p w:rsidR="00F44160" w:rsidRPr="00C93FAE" w:rsidRDefault="00F44160" w:rsidP="002A75A0">
            <w:pPr>
              <w:keepNext/>
              <w:spacing w:before="0" w:after="0"/>
              <w:jc w:val="right"/>
            </w:pPr>
            <w:r w:rsidRPr="00C93FAE">
              <w:t>35,2</w:t>
            </w:r>
          </w:p>
        </w:tc>
      </w:tr>
      <w:tr w:rsidR="00F44160" w:rsidTr="00374A8B">
        <w:trPr>
          <w:trHeight w:val="397"/>
        </w:trPr>
        <w:tc>
          <w:tcPr>
            <w:tcW w:w="6468" w:type="dxa"/>
            <w:vAlign w:val="center"/>
          </w:tcPr>
          <w:p w:rsidR="00F44160" w:rsidRDefault="00F44160" w:rsidP="002A75A0">
            <w:pPr>
              <w:keepNext/>
              <w:spacing w:before="0" w:after="0"/>
              <w:jc w:val="left"/>
            </w:pPr>
            <w:r>
              <w:t>Spotřeba zemního plynu KGJ</w:t>
            </w:r>
          </w:p>
        </w:tc>
        <w:tc>
          <w:tcPr>
            <w:tcW w:w="729" w:type="dxa"/>
            <w:vAlign w:val="center"/>
          </w:tcPr>
          <w:p w:rsidR="00F44160" w:rsidRDefault="00F44160" w:rsidP="00374A8B">
            <w:pPr>
              <w:keepNext/>
              <w:spacing w:before="0" w:after="0"/>
              <w:jc w:val="center"/>
            </w:pPr>
            <w:r>
              <w:t>V</w:t>
            </w:r>
            <w:r w:rsidRPr="00235052">
              <w:rPr>
                <w:vertAlign w:val="subscript"/>
              </w:rPr>
              <w:t>P</w:t>
            </w:r>
            <w:r w:rsidR="00374A8B">
              <w:rPr>
                <w:vertAlign w:val="subscript"/>
              </w:rPr>
              <w:t>KGJ</w:t>
            </w:r>
          </w:p>
        </w:tc>
        <w:tc>
          <w:tcPr>
            <w:tcW w:w="1133" w:type="dxa"/>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vAlign w:val="center"/>
          </w:tcPr>
          <w:p w:rsidR="00F44160" w:rsidRPr="00C93FAE" w:rsidRDefault="00C93FAE" w:rsidP="002A75A0">
            <w:pPr>
              <w:keepNext/>
              <w:spacing w:before="0" w:after="0"/>
              <w:jc w:val="right"/>
            </w:pPr>
            <w:r w:rsidRPr="00C93FAE">
              <w:t>69,7</w:t>
            </w:r>
          </w:p>
        </w:tc>
      </w:tr>
      <w:tr w:rsidR="00F44160" w:rsidTr="00374A8B">
        <w:trPr>
          <w:trHeight w:val="397"/>
        </w:trPr>
        <w:tc>
          <w:tcPr>
            <w:tcW w:w="6468" w:type="dxa"/>
            <w:vAlign w:val="center"/>
          </w:tcPr>
          <w:p w:rsidR="00F44160" w:rsidRDefault="00F44160" w:rsidP="007267E6">
            <w:pPr>
              <w:keepNext/>
              <w:spacing w:before="0" w:after="0"/>
              <w:jc w:val="left"/>
            </w:pPr>
            <w:r>
              <w:t xml:space="preserve">Průtok spalovacího vzduchu pro kotel K1 (zima </w:t>
            </w:r>
            <w:r w:rsidR="007267E6">
              <w:t>+15</w:t>
            </w:r>
            <w:r>
              <w:t> °C)</w:t>
            </w:r>
          </w:p>
        </w:tc>
        <w:tc>
          <w:tcPr>
            <w:tcW w:w="729" w:type="dxa"/>
            <w:vAlign w:val="center"/>
          </w:tcPr>
          <w:p w:rsidR="00F44160" w:rsidRDefault="00F44160" w:rsidP="002A75A0">
            <w:pPr>
              <w:keepNext/>
              <w:spacing w:before="0" w:after="0"/>
              <w:jc w:val="center"/>
            </w:pPr>
            <w:r>
              <w:t>V</w:t>
            </w:r>
            <w:r w:rsidRPr="00235052">
              <w:rPr>
                <w:vertAlign w:val="subscript"/>
              </w:rPr>
              <w:t>S</w:t>
            </w:r>
            <w:r w:rsidR="00374A8B">
              <w:rPr>
                <w:vertAlign w:val="subscript"/>
              </w:rPr>
              <w:t>K</w:t>
            </w:r>
            <w:r w:rsidRPr="00235052">
              <w:rPr>
                <w:vertAlign w:val="subscript"/>
              </w:rPr>
              <w:t>1</w:t>
            </w:r>
          </w:p>
        </w:tc>
        <w:tc>
          <w:tcPr>
            <w:tcW w:w="1133" w:type="dxa"/>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vAlign w:val="center"/>
          </w:tcPr>
          <w:p w:rsidR="00F44160" w:rsidRPr="00C93FAE" w:rsidRDefault="00C93FAE" w:rsidP="002A75A0">
            <w:pPr>
              <w:keepNext/>
              <w:spacing w:before="0" w:after="0"/>
              <w:jc w:val="right"/>
            </w:pPr>
            <w:r w:rsidRPr="00C93FAE">
              <w:t>382,0</w:t>
            </w:r>
          </w:p>
        </w:tc>
      </w:tr>
      <w:tr w:rsidR="00F44160" w:rsidTr="00374A8B">
        <w:trPr>
          <w:trHeight w:val="397"/>
        </w:trPr>
        <w:tc>
          <w:tcPr>
            <w:tcW w:w="6468" w:type="dxa"/>
            <w:vAlign w:val="center"/>
          </w:tcPr>
          <w:p w:rsidR="00F44160" w:rsidRDefault="00F44160" w:rsidP="002A75A0">
            <w:pPr>
              <w:keepNext/>
              <w:spacing w:before="0" w:after="0"/>
              <w:jc w:val="left"/>
            </w:pPr>
            <w:r>
              <w:t>Průtok spalo</w:t>
            </w:r>
            <w:r w:rsidR="007267E6">
              <w:t>vacího vzduchu pro KGJ (zima +15</w:t>
            </w:r>
            <w:r>
              <w:t> °C)</w:t>
            </w:r>
          </w:p>
        </w:tc>
        <w:tc>
          <w:tcPr>
            <w:tcW w:w="729" w:type="dxa"/>
            <w:vAlign w:val="center"/>
          </w:tcPr>
          <w:p w:rsidR="00F44160" w:rsidRDefault="00F44160" w:rsidP="00374A8B">
            <w:pPr>
              <w:keepNext/>
              <w:spacing w:before="0" w:after="0"/>
              <w:jc w:val="center"/>
            </w:pPr>
            <w:r>
              <w:t>V</w:t>
            </w:r>
            <w:r w:rsidRPr="00235052">
              <w:rPr>
                <w:vertAlign w:val="subscript"/>
              </w:rPr>
              <w:t>S</w:t>
            </w:r>
            <w:r w:rsidR="00374A8B">
              <w:rPr>
                <w:vertAlign w:val="subscript"/>
              </w:rPr>
              <w:t>KGJ</w:t>
            </w:r>
          </w:p>
        </w:tc>
        <w:tc>
          <w:tcPr>
            <w:tcW w:w="1133" w:type="dxa"/>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vAlign w:val="center"/>
          </w:tcPr>
          <w:p w:rsidR="00F44160" w:rsidRPr="00C93FAE" w:rsidRDefault="00374A8B" w:rsidP="002A75A0">
            <w:pPr>
              <w:keepNext/>
              <w:spacing w:before="0" w:after="0"/>
              <w:jc w:val="right"/>
            </w:pPr>
            <w:r>
              <w:t>902,5</w:t>
            </w:r>
          </w:p>
        </w:tc>
      </w:tr>
      <w:tr w:rsidR="00F44160" w:rsidTr="00374A8B">
        <w:trPr>
          <w:trHeight w:val="397"/>
        </w:trPr>
        <w:tc>
          <w:tcPr>
            <w:tcW w:w="6468" w:type="dxa"/>
            <w:shd w:val="clear" w:color="auto" w:fill="FDE9D9" w:themeFill="accent6" w:themeFillTint="33"/>
            <w:vAlign w:val="center"/>
          </w:tcPr>
          <w:p w:rsidR="00F44160" w:rsidRDefault="00F44160" w:rsidP="007267E6">
            <w:pPr>
              <w:keepNext/>
              <w:spacing w:before="0" w:after="0"/>
              <w:jc w:val="left"/>
            </w:pPr>
            <w:r>
              <w:t xml:space="preserve">Celkový průtok spalovacího vzduchu (zima </w:t>
            </w:r>
            <w:r w:rsidR="007267E6">
              <w:t>+15</w:t>
            </w:r>
            <w:r>
              <w:t xml:space="preserve"> °C)</w:t>
            </w:r>
          </w:p>
        </w:tc>
        <w:tc>
          <w:tcPr>
            <w:tcW w:w="729" w:type="dxa"/>
            <w:shd w:val="clear" w:color="auto" w:fill="FDE9D9" w:themeFill="accent6" w:themeFillTint="33"/>
            <w:vAlign w:val="center"/>
          </w:tcPr>
          <w:p w:rsidR="00F44160" w:rsidRDefault="00F44160" w:rsidP="002A75A0">
            <w:pPr>
              <w:keepNext/>
              <w:spacing w:before="0" w:after="0"/>
              <w:jc w:val="center"/>
            </w:pPr>
            <w:r>
              <w:t>V</w:t>
            </w:r>
            <w:r w:rsidRPr="00235052">
              <w:rPr>
                <w:vertAlign w:val="subscript"/>
              </w:rPr>
              <w:t>S</w:t>
            </w:r>
          </w:p>
        </w:tc>
        <w:tc>
          <w:tcPr>
            <w:tcW w:w="1133" w:type="dxa"/>
            <w:shd w:val="clear" w:color="auto" w:fill="FDE9D9" w:themeFill="accent6" w:themeFillTint="33"/>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shd w:val="clear" w:color="auto" w:fill="FDE9D9" w:themeFill="accent6" w:themeFillTint="33"/>
            <w:vAlign w:val="center"/>
          </w:tcPr>
          <w:p w:rsidR="00F44160" w:rsidRPr="00C93FAE" w:rsidRDefault="00AE54DE" w:rsidP="002A75A0">
            <w:pPr>
              <w:keepNext/>
              <w:spacing w:before="0" w:after="0"/>
              <w:jc w:val="right"/>
            </w:pPr>
            <w:r>
              <w:t>1 284,5</w:t>
            </w:r>
          </w:p>
        </w:tc>
      </w:tr>
      <w:tr w:rsidR="00F44160" w:rsidTr="00374A8B">
        <w:trPr>
          <w:trHeight w:val="397"/>
        </w:trPr>
        <w:tc>
          <w:tcPr>
            <w:tcW w:w="6468" w:type="dxa"/>
            <w:vAlign w:val="center"/>
          </w:tcPr>
          <w:p w:rsidR="00F44160" w:rsidRDefault="00F44160" w:rsidP="002A75A0">
            <w:pPr>
              <w:keepNext/>
              <w:spacing w:before="0" w:after="0"/>
              <w:jc w:val="left"/>
            </w:pPr>
            <w:r>
              <w:t>Průtok spalovacího vzduchu pro kotel K1 (květen 26,5 °C)</w:t>
            </w:r>
          </w:p>
        </w:tc>
        <w:tc>
          <w:tcPr>
            <w:tcW w:w="729" w:type="dxa"/>
            <w:vAlign w:val="center"/>
          </w:tcPr>
          <w:p w:rsidR="00F44160" w:rsidRDefault="00F44160" w:rsidP="002A75A0">
            <w:pPr>
              <w:keepNext/>
              <w:spacing w:before="0" w:after="0"/>
              <w:jc w:val="center"/>
            </w:pPr>
            <w:r>
              <w:t>V</w:t>
            </w:r>
            <w:r w:rsidRPr="00235052">
              <w:rPr>
                <w:vertAlign w:val="subscript"/>
              </w:rPr>
              <w:t>S</w:t>
            </w:r>
            <w:r w:rsidR="00374A8B">
              <w:rPr>
                <w:vertAlign w:val="subscript"/>
              </w:rPr>
              <w:t>K</w:t>
            </w:r>
            <w:r w:rsidRPr="00235052">
              <w:rPr>
                <w:vertAlign w:val="subscript"/>
              </w:rPr>
              <w:t>1</w:t>
            </w:r>
          </w:p>
        </w:tc>
        <w:tc>
          <w:tcPr>
            <w:tcW w:w="1133" w:type="dxa"/>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vAlign w:val="center"/>
          </w:tcPr>
          <w:p w:rsidR="00F44160" w:rsidRPr="00C93FAE" w:rsidRDefault="00F44160" w:rsidP="002A75A0">
            <w:pPr>
              <w:keepNext/>
              <w:spacing w:before="0" w:after="0"/>
              <w:jc w:val="right"/>
            </w:pPr>
            <w:r w:rsidRPr="00C93FAE">
              <w:t>397,3</w:t>
            </w:r>
          </w:p>
        </w:tc>
      </w:tr>
      <w:tr w:rsidR="00F44160" w:rsidTr="00374A8B">
        <w:trPr>
          <w:trHeight w:val="397"/>
        </w:trPr>
        <w:tc>
          <w:tcPr>
            <w:tcW w:w="6468" w:type="dxa"/>
            <w:shd w:val="clear" w:color="auto" w:fill="auto"/>
            <w:vAlign w:val="center"/>
          </w:tcPr>
          <w:p w:rsidR="00F44160" w:rsidRDefault="00F44160" w:rsidP="002A75A0">
            <w:pPr>
              <w:keepNext/>
              <w:spacing w:before="0" w:after="0"/>
              <w:jc w:val="left"/>
            </w:pPr>
            <w:r>
              <w:t>Průtok spalovacího vzduchu pro KGJ (květen 26,5 °C)</w:t>
            </w:r>
          </w:p>
        </w:tc>
        <w:tc>
          <w:tcPr>
            <w:tcW w:w="729" w:type="dxa"/>
            <w:shd w:val="clear" w:color="auto" w:fill="auto"/>
            <w:vAlign w:val="center"/>
          </w:tcPr>
          <w:p w:rsidR="00F44160" w:rsidRDefault="00F44160" w:rsidP="00374A8B">
            <w:pPr>
              <w:keepNext/>
              <w:spacing w:before="0" w:after="0"/>
              <w:jc w:val="center"/>
            </w:pPr>
            <w:r>
              <w:t>V</w:t>
            </w:r>
            <w:r w:rsidRPr="00235052">
              <w:rPr>
                <w:vertAlign w:val="subscript"/>
              </w:rPr>
              <w:t>S</w:t>
            </w:r>
            <w:r w:rsidR="00374A8B">
              <w:rPr>
                <w:vertAlign w:val="subscript"/>
              </w:rPr>
              <w:t>KGJ</w:t>
            </w:r>
          </w:p>
        </w:tc>
        <w:tc>
          <w:tcPr>
            <w:tcW w:w="1133" w:type="dxa"/>
            <w:shd w:val="clear" w:color="auto" w:fill="auto"/>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shd w:val="clear" w:color="auto" w:fill="auto"/>
            <w:vAlign w:val="center"/>
          </w:tcPr>
          <w:p w:rsidR="00F44160" w:rsidRPr="00C93FAE" w:rsidRDefault="00AE54DE" w:rsidP="002A75A0">
            <w:pPr>
              <w:keepNext/>
              <w:spacing w:before="0" w:after="0"/>
              <w:jc w:val="right"/>
            </w:pPr>
            <w:r>
              <w:t>938,6</w:t>
            </w:r>
          </w:p>
        </w:tc>
      </w:tr>
      <w:tr w:rsidR="00F44160" w:rsidTr="00374A8B">
        <w:trPr>
          <w:trHeight w:val="397"/>
        </w:trPr>
        <w:tc>
          <w:tcPr>
            <w:tcW w:w="6468" w:type="dxa"/>
            <w:shd w:val="clear" w:color="auto" w:fill="FDE9D9" w:themeFill="accent6" w:themeFillTint="33"/>
            <w:vAlign w:val="center"/>
          </w:tcPr>
          <w:p w:rsidR="00F44160" w:rsidRDefault="00F44160" w:rsidP="002A75A0">
            <w:pPr>
              <w:keepNext/>
              <w:spacing w:before="0" w:after="0"/>
              <w:jc w:val="left"/>
            </w:pPr>
            <w:r>
              <w:t>Celkový průtok spalovacího vzduchu (květen 26,5 °C)</w:t>
            </w:r>
          </w:p>
        </w:tc>
        <w:tc>
          <w:tcPr>
            <w:tcW w:w="729" w:type="dxa"/>
            <w:shd w:val="clear" w:color="auto" w:fill="FDE9D9" w:themeFill="accent6" w:themeFillTint="33"/>
            <w:vAlign w:val="center"/>
          </w:tcPr>
          <w:p w:rsidR="00F44160" w:rsidRDefault="00F44160" w:rsidP="002A75A0">
            <w:pPr>
              <w:keepNext/>
              <w:spacing w:before="0" w:after="0"/>
              <w:jc w:val="center"/>
            </w:pPr>
            <w:r>
              <w:t>V</w:t>
            </w:r>
            <w:r w:rsidRPr="00235052">
              <w:rPr>
                <w:vertAlign w:val="subscript"/>
              </w:rPr>
              <w:t>S</w:t>
            </w:r>
          </w:p>
        </w:tc>
        <w:tc>
          <w:tcPr>
            <w:tcW w:w="1133" w:type="dxa"/>
            <w:shd w:val="clear" w:color="auto" w:fill="FDE9D9" w:themeFill="accent6" w:themeFillTint="33"/>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shd w:val="clear" w:color="auto" w:fill="FDE9D9" w:themeFill="accent6" w:themeFillTint="33"/>
            <w:vAlign w:val="center"/>
          </w:tcPr>
          <w:p w:rsidR="00F44160" w:rsidRPr="00C93FAE" w:rsidRDefault="00AE54DE" w:rsidP="002A75A0">
            <w:pPr>
              <w:keepNext/>
              <w:spacing w:before="0" w:after="0"/>
              <w:jc w:val="right"/>
            </w:pPr>
            <w:r>
              <w:t>1 335,8</w:t>
            </w:r>
          </w:p>
        </w:tc>
      </w:tr>
      <w:tr w:rsidR="00F44160" w:rsidTr="00374A8B">
        <w:trPr>
          <w:trHeight w:val="397"/>
        </w:trPr>
        <w:tc>
          <w:tcPr>
            <w:tcW w:w="6468" w:type="dxa"/>
            <w:vAlign w:val="center"/>
          </w:tcPr>
          <w:p w:rsidR="00F44160" w:rsidRDefault="00F44160" w:rsidP="002A75A0">
            <w:pPr>
              <w:keepNext/>
              <w:spacing w:before="0" w:after="0"/>
              <w:jc w:val="left"/>
            </w:pPr>
            <w:r>
              <w:t>Průtok spalovacího vzduchu pro kotel K1 (červenec 30 °C)</w:t>
            </w:r>
          </w:p>
        </w:tc>
        <w:tc>
          <w:tcPr>
            <w:tcW w:w="729" w:type="dxa"/>
            <w:vAlign w:val="center"/>
          </w:tcPr>
          <w:p w:rsidR="00F44160" w:rsidRDefault="00F44160" w:rsidP="002A75A0">
            <w:pPr>
              <w:keepNext/>
              <w:spacing w:before="0" w:after="0"/>
              <w:jc w:val="center"/>
            </w:pPr>
            <w:r>
              <w:t>V</w:t>
            </w:r>
            <w:r w:rsidRPr="00235052">
              <w:rPr>
                <w:vertAlign w:val="subscript"/>
              </w:rPr>
              <w:t>S</w:t>
            </w:r>
            <w:r w:rsidR="00374A8B">
              <w:rPr>
                <w:vertAlign w:val="subscript"/>
              </w:rPr>
              <w:t>K</w:t>
            </w:r>
            <w:r w:rsidRPr="00235052">
              <w:rPr>
                <w:vertAlign w:val="subscript"/>
              </w:rPr>
              <w:t>1</w:t>
            </w:r>
          </w:p>
        </w:tc>
        <w:tc>
          <w:tcPr>
            <w:tcW w:w="1133" w:type="dxa"/>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vAlign w:val="center"/>
          </w:tcPr>
          <w:p w:rsidR="00F44160" w:rsidRPr="00DC738E" w:rsidRDefault="00F44160" w:rsidP="002A75A0">
            <w:pPr>
              <w:keepNext/>
              <w:spacing w:before="0" w:after="0"/>
              <w:jc w:val="right"/>
            </w:pPr>
            <w:r w:rsidRPr="00DC738E">
              <w:t>401,9</w:t>
            </w:r>
          </w:p>
        </w:tc>
      </w:tr>
      <w:tr w:rsidR="00F44160" w:rsidTr="00374A8B">
        <w:trPr>
          <w:trHeight w:val="397"/>
        </w:trPr>
        <w:tc>
          <w:tcPr>
            <w:tcW w:w="6468" w:type="dxa"/>
            <w:vAlign w:val="center"/>
          </w:tcPr>
          <w:p w:rsidR="00F44160" w:rsidRDefault="00F44160" w:rsidP="002A75A0">
            <w:pPr>
              <w:keepNext/>
              <w:spacing w:before="0" w:after="0"/>
              <w:jc w:val="left"/>
            </w:pPr>
            <w:r>
              <w:t>Průtok spalovacího vzduchu pro KGJ (červenec 30 °C)</w:t>
            </w:r>
          </w:p>
        </w:tc>
        <w:tc>
          <w:tcPr>
            <w:tcW w:w="729" w:type="dxa"/>
            <w:vAlign w:val="center"/>
          </w:tcPr>
          <w:p w:rsidR="00F44160" w:rsidRDefault="00F44160" w:rsidP="00374A8B">
            <w:pPr>
              <w:keepNext/>
              <w:spacing w:before="0" w:after="0"/>
              <w:jc w:val="center"/>
            </w:pPr>
            <w:r>
              <w:t>V</w:t>
            </w:r>
            <w:r w:rsidRPr="00235052">
              <w:rPr>
                <w:vertAlign w:val="subscript"/>
              </w:rPr>
              <w:t>S</w:t>
            </w:r>
            <w:r w:rsidR="00374A8B">
              <w:rPr>
                <w:vertAlign w:val="subscript"/>
              </w:rPr>
              <w:t>KGJ</w:t>
            </w:r>
          </w:p>
        </w:tc>
        <w:tc>
          <w:tcPr>
            <w:tcW w:w="1133" w:type="dxa"/>
            <w:vAlign w:val="center"/>
          </w:tcPr>
          <w:p w:rsidR="00F44160" w:rsidRPr="00227BDC" w:rsidRDefault="00F44160"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vAlign w:val="center"/>
          </w:tcPr>
          <w:p w:rsidR="00F44160" w:rsidRPr="00DC738E" w:rsidRDefault="00DC738E" w:rsidP="002A75A0">
            <w:pPr>
              <w:keepNext/>
              <w:spacing w:before="0" w:after="0"/>
              <w:jc w:val="right"/>
            </w:pPr>
            <w:r w:rsidRPr="00DC738E">
              <w:t>949,5</w:t>
            </w:r>
          </w:p>
        </w:tc>
      </w:tr>
      <w:tr w:rsidR="00F44160" w:rsidTr="00374A8B">
        <w:trPr>
          <w:trHeight w:val="397"/>
        </w:trPr>
        <w:tc>
          <w:tcPr>
            <w:tcW w:w="6468" w:type="dxa"/>
            <w:shd w:val="clear" w:color="auto" w:fill="auto"/>
            <w:vAlign w:val="center"/>
          </w:tcPr>
          <w:p w:rsidR="00F44160" w:rsidRDefault="00F44160" w:rsidP="002A75A0">
            <w:pPr>
              <w:spacing w:before="0" w:after="0"/>
              <w:jc w:val="left"/>
            </w:pPr>
            <w:r>
              <w:t>Celkový průtok spalovacího vzduchu (červenec 30 °C)</w:t>
            </w:r>
          </w:p>
        </w:tc>
        <w:tc>
          <w:tcPr>
            <w:tcW w:w="729" w:type="dxa"/>
            <w:shd w:val="clear" w:color="auto" w:fill="auto"/>
            <w:vAlign w:val="center"/>
          </w:tcPr>
          <w:p w:rsidR="00F44160" w:rsidRDefault="00F44160" w:rsidP="002A75A0">
            <w:pPr>
              <w:spacing w:before="0" w:after="0"/>
              <w:jc w:val="center"/>
            </w:pPr>
            <w:r>
              <w:t>V</w:t>
            </w:r>
            <w:r w:rsidRPr="00235052">
              <w:rPr>
                <w:vertAlign w:val="subscript"/>
              </w:rPr>
              <w:t>S</w:t>
            </w:r>
          </w:p>
        </w:tc>
        <w:tc>
          <w:tcPr>
            <w:tcW w:w="1133" w:type="dxa"/>
            <w:shd w:val="clear" w:color="auto" w:fill="auto"/>
            <w:vAlign w:val="center"/>
          </w:tcPr>
          <w:p w:rsidR="00F44160" w:rsidRPr="00227BDC" w:rsidRDefault="00F44160" w:rsidP="002A75A0">
            <w:pPr>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958" w:type="dxa"/>
            <w:shd w:val="clear" w:color="auto" w:fill="auto"/>
            <w:vAlign w:val="center"/>
          </w:tcPr>
          <w:p w:rsidR="00F44160" w:rsidRPr="00DC738E" w:rsidRDefault="00DC738E" w:rsidP="002A75A0">
            <w:pPr>
              <w:spacing w:before="0" w:after="0"/>
              <w:jc w:val="right"/>
            </w:pPr>
            <w:r w:rsidRPr="00DC738E">
              <w:t>1</w:t>
            </w:r>
            <w:r w:rsidR="009D0440">
              <w:t> </w:t>
            </w:r>
            <w:r w:rsidRPr="00DC738E">
              <w:t>351,4</w:t>
            </w:r>
          </w:p>
        </w:tc>
      </w:tr>
    </w:tbl>
    <w:p w:rsidR="00F44160" w:rsidRDefault="00F44160" w:rsidP="00F44160">
      <w:r>
        <w:t xml:space="preserve">Celkový potřebný průtok spalovacího vzduchu pro variantu </w:t>
      </w:r>
      <w:r w:rsidR="000836AE">
        <w:t>B</w:t>
      </w:r>
      <w:r>
        <w:t xml:space="preserve"> je v zimě </w:t>
      </w:r>
      <w:r w:rsidR="00AE54DE">
        <w:t>1 284,5</w:t>
      </w:r>
      <w:r>
        <w:t xml:space="preserve"> m</w:t>
      </w:r>
      <w:r w:rsidRPr="00C55FBC">
        <w:rPr>
          <w:vertAlign w:val="superscript"/>
        </w:rPr>
        <w:t>3</w:t>
      </w:r>
      <w:r>
        <w:t>·h</w:t>
      </w:r>
      <w:r w:rsidRPr="00C55FBC">
        <w:rPr>
          <w:vertAlign w:val="superscript"/>
        </w:rPr>
        <w:t>-1</w:t>
      </w:r>
      <w:r>
        <w:t xml:space="preserve"> a v </w:t>
      </w:r>
      <w:r w:rsidR="007267E6">
        <w:t>květnu</w:t>
      </w:r>
      <w:r>
        <w:t xml:space="preserve"> </w:t>
      </w:r>
      <w:r w:rsidR="00C93FAE">
        <w:t>1</w:t>
      </w:r>
      <w:r w:rsidR="009D0440">
        <w:t> </w:t>
      </w:r>
      <w:r w:rsidR="00C93FAE">
        <w:t>335,8</w:t>
      </w:r>
      <w:r>
        <w:t xml:space="preserve"> m</w:t>
      </w:r>
      <w:r w:rsidRPr="00C55FBC">
        <w:rPr>
          <w:vertAlign w:val="superscript"/>
        </w:rPr>
        <w:t>3</w:t>
      </w:r>
      <w:r>
        <w:t>·h</w:t>
      </w:r>
      <w:r w:rsidRPr="00C55FBC">
        <w:rPr>
          <w:vertAlign w:val="superscript"/>
        </w:rPr>
        <w:t>-1</w:t>
      </w:r>
      <w:r>
        <w:t xml:space="preserve">. </w:t>
      </w:r>
    </w:p>
    <w:p w:rsidR="00F44160" w:rsidRDefault="00F44160" w:rsidP="007E5C97">
      <w:pPr>
        <w:keepNext/>
        <w:rPr>
          <w:b/>
        </w:rPr>
      </w:pPr>
      <w:r w:rsidRPr="00110047">
        <w:rPr>
          <w:b/>
        </w:rPr>
        <w:t xml:space="preserve">Větrací vzduch </w:t>
      </w:r>
      <w:r w:rsidR="007E5C97">
        <w:rPr>
          <w:b/>
        </w:rPr>
        <w:t>(kotelna 1 – místnost 3S302B)</w:t>
      </w:r>
    </w:p>
    <w:p w:rsidR="00511836" w:rsidRDefault="00DC738E" w:rsidP="00511836">
      <w:r>
        <w:t>Zásadním je však z pohledu větrání výpočet větracího vzduchu. Zde je předpoklad, že požadavek větracího vzduchu po instalaci kogenerační jednotky výrazně vzroste. Je to dáno tím, že navržená kogenerační jednotka má oproti kotlům vyšší tepelné ztráty. V katalogu je uvedena ztráta 40 kW (není uvedeno při jaké teplotě okolí kotelny – v létě by v případě vyšší teploty kotelny ztráta mohla klesnout).</w:t>
      </w:r>
    </w:p>
    <w:p w:rsidR="00DC738E" w:rsidRDefault="00DC738E" w:rsidP="00511836">
      <w:r>
        <w:t xml:space="preserve">Větrací vzduch bude dimenzován na ztrátu KGJ (40 kW) a vypočítanou </w:t>
      </w:r>
      <w:r w:rsidR="00385843">
        <w:t>ztrátu kotle K1</w:t>
      </w:r>
      <w:r>
        <w:t>.</w:t>
      </w:r>
      <w:r w:rsidR="00960080">
        <w:t xml:space="preserve"> Jiné tepelné zisky ani ztráty v zimě (vzhledem k umístění kotelny) nebudou uvažovány. Nejvyšší vnitřní povolená teplota v kotelně je 35 °C (pro provoz KGJ</w:t>
      </w:r>
      <w:r w:rsidR="009E27A8">
        <w:t xml:space="preserve">). Tepelné ztráty jednotlivých zařízení při provozu a požadované množství přiváděného vzduchu v jednotlivých obdobích znázorňuje </w:t>
      </w:r>
      <w:r w:rsidR="00973B98">
        <w:fldChar w:fldCharType="begin"/>
      </w:r>
      <w:r w:rsidR="00973B98">
        <w:instrText xml:space="preserve"> REF _Ref56804675 \h </w:instrText>
      </w:r>
      <w:r w:rsidR="00973B98">
        <w:fldChar w:fldCharType="separate"/>
      </w:r>
      <w:r w:rsidR="00816426">
        <w:t xml:space="preserve">Tab. </w:t>
      </w:r>
      <w:r w:rsidR="00816426">
        <w:rPr>
          <w:noProof/>
        </w:rPr>
        <w:t>17</w:t>
      </w:r>
      <w:r w:rsidR="00973B98">
        <w:fldChar w:fldCharType="end"/>
      </w:r>
      <w:r w:rsidR="009E27A8">
        <w:t xml:space="preserve">. </w:t>
      </w:r>
    </w:p>
    <w:p w:rsidR="000836AE" w:rsidRDefault="000836AE" w:rsidP="000836AE">
      <w:pPr>
        <w:pStyle w:val="Tabulka"/>
      </w:pPr>
      <w:bookmarkStart w:id="105" w:name="_Ref56804675"/>
      <w:r>
        <w:t xml:space="preserve">Tab. </w:t>
      </w:r>
      <w:fldSimple w:instr=" SEQ Tab. \* ARABIC ">
        <w:r w:rsidR="00816426">
          <w:rPr>
            <w:noProof/>
          </w:rPr>
          <w:t>17</w:t>
        </w:r>
      </w:fldSimple>
      <w:bookmarkEnd w:id="105"/>
      <w:r>
        <w:t xml:space="preserve"> Tepelné ztráty zařízení v kotelně a průtok větracího vzduchu – varianta </w:t>
      </w:r>
      <w:r w:rsidR="00857269">
        <w:t>B</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6360"/>
        <w:gridCol w:w="729"/>
        <w:gridCol w:w="1126"/>
        <w:gridCol w:w="1073"/>
      </w:tblGrid>
      <w:tr w:rsidR="009E27A8" w:rsidTr="00AE54DE">
        <w:trPr>
          <w:trHeight w:val="397"/>
        </w:trPr>
        <w:tc>
          <w:tcPr>
            <w:tcW w:w="6360" w:type="dxa"/>
            <w:vAlign w:val="center"/>
          </w:tcPr>
          <w:p w:rsidR="009E27A8" w:rsidRDefault="009E27A8" w:rsidP="009E27A8">
            <w:pPr>
              <w:keepNext/>
              <w:spacing w:before="0" w:after="0"/>
              <w:jc w:val="left"/>
            </w:pPr>
            <w:r>
              <w:t>Tepelná ztráta kotle K1 – při provozu</w:t>
            </w:r>
          </w:p>
        </w:tc>
        <w:tc>
          <w:tcPr>
            <w:tcW w:w="729" w:type="dxa"/>
            <w:vAlign w:val="center"/>
          </w:tcPr>
          <w:p w:rsidR="009E27A8" w:rsidRDefault="009E27A8" w:rsidP="00AE54DE">
            <w:pPr>
              <w:keepNext/>
              <w:spacing w:before="0" w:after="0"/>
              <w:jc w:val="center"/>
            </w:pPr>
            <w:r>
              <w:t>Q</w:t>
            </w:r>
            <w:r w:rsidR="00AE54DE">
              <w:rPr>
                <w:vertAlign w:val="subscript"/>
              </w:rPr>
              <w:t>K1</w:t>
            </w:r>
          </w:p>
        </w:tc>
        <w:tc>
          <w:tcPr>
            <w:tcW w:w="1126" w:type="dxa"/>
            <w:vAlign w:val="center"/>
          </w:tcPr>
          <w:p w:rsidR="009E27A8" w:rsidRPr="00227BDC" w:rsidRDefault="009E27A8" w:rsidP="009E27A8">
            <w:pPr>
              <w:keepNext/>
              <w:spacing w:before="0" w:after="0"/>
              <w:jc w:val="center"/>
              <w:rPr>
                <w:lang w:val="en-US"/>
              </w:rPr>
            </w:pPr>
            <w:r>
              <w:rPr>
                <w:lang w:val="en-US"/>
              </w:rPr>
              <w:t>[kW]</w:t>
            </w:r>
          </w:p>
        </w:tc>
        <w:tc>
          <w:tcPr>
            <w:tcW w:w="1073" w:type="dxa"/>
            <w:vAlign w:val="center"/>
          </w:tcPr>
          <w:p w:rsidR="009E27A8" w:rsidRPr="00C93FAE" w:rsidRDefault="009E27A8" w:rsidP="002A75A0">
            <w:pPr>
              <w:keepNext/>
              <w:spacing w:before="0" w:after="0"/>
              <w:jc w:val="right"/>
            </w:pPr>
            <w:r>
              <w:t>3,3</w:t>
            </w:r>
          </w:p>
        </w:tc>
      </w:tr>
      <w:tr w:rsidR="009E27A8" w:rsidTr="00AE54DE">
        <w:trPr>
          <w:trHeight w:val="397"/>
        </w:trPr>
        <w:tc>
          <w:tcPr>
            <w:tcW w:w="6360" w:type="dxa"/>
            <w:vAlign w:val="center"/>
          </w:tcPr>
          <w:p w:rsidR="009E27A8" w:rsidRDefault="009E27A8" w:rsidP="002A75A0">
            <w:pPr>
              <w:keepNext/>
              <w:spacing w:before="0" w:after="0"/>
              <w:jc w:val="left"/>
            </w:pPr>
            <w:r>
              <w:t>Tepelná ztráta KGJ – při provozu</w:t>
            </w:r>
          </w:p>
        </w:tc>
        <w:tc>
          <w:tcPr>
            <w:tcW w:w="729" w:type="dxa"/>
            <w:vAlign w:val="center"/>
          </w:tcPr>
          <w:p w:rsidR="009E27A8" w:rsidRDefault="009E27A8" w:rsidP="00AE54DE">
            <w:pPr>
              <w:keepNext/>
              <w:spacing w:before="0" w:after="0"/>
              <w:jc w:val="center"/>
            </w:pPr>
            <w:r>
              <w:t>Q</w:t>
            </w:r>
            <w:r w:rsidR="00AE54DE">
              <w:rPr>
                <w:vertAlign w:val="subscript"/>
              </w:rPr>
              <w:t>KGJ</w:t>
            </w:r>
          </w:p>
        </w:tc>
        <w:tc>
          <w:tcPr>
            <w:tcW w:w="1126" w:type="dxa"/>
            <w:vAlign w:val="center"/>
          </w:tcPr>
          <w:p w:rsidR="009E27A8" w:rsidRPr="00227BDC" w:rsidRDefault="009E27A8" w:rsidP="009E27A8">
            <w:pPr>
              <w:keepNext/>
              <w:spacing w:before="0" w:after="0"/>
              <w:jc w:val="center"/>
              <w:rPr>
                <w:lang w:val="en-US"/>
              </w:rPr>
            </w:pPr>
            <w:r>
              <w:rPr>
                <w:lang w:val="en-US"/>
              </w:rPr>
              <w:t>[kW]</w:t>
            </w:r>
          </w:p>
        </w:tc>
        <w:tc>
          <w:tcPr>
            <w:tcW w:w="1073" w:type="dxa"/>
            <w:vAlign w:val="center"/>
          </w:tcPr>
          <w:p w:rsidR="009E27A8" w:rsidRPr="00C93FAE" w:rsidRDefault="009E27A8" w:rsidP="002A75A0">
            <w:pPr>
              <w:keepNext/>
              <w:spacing w:before="0" w:after="0"/>
              <w:jc w:val="right"/>
            </w:pPr>
            <w:r>
              <w:t>40,0</w:t>
            </w:r>
          </w:p>
        </w:tc>
      </w:tr>
      <w:tr w:rsidR="009E27A8" w:rsidTr="00AE54DE">
        <w:trPr>
          <w:trHeight w:val="397"/>
        </w:trPr>
        <w:tc>
          <w:tcPr>
            <w:tcW w:w="6360" w:type="dxa"/>
            <w:vAlign w:val="center"/>
          </w:tcPr>
          <w:p w:rsidR="009E27A8" w:rsidRDefault="009E27A8" w:rsidP="009E27A8">
            <w:pPr>
              <w:keepNext/>
              <w:spacing w:before="0" w:after="0"/>
              <w:jc w:val="left"/>
            </w:pPr>
            <w:r>
              <w:t>Průtok větracího vzduchu pro kotel K1 (zima +15 °C)</w:t>
            </w:r>
          </w:p>
        </w:tc>
        <w:tc>
          <w:tcPr>
            <w:tcW w:w="729" w:type="dxa"/>
            <w:vAlign w:val="center"/>
          </w:tcPr>
          <w:p w:rsidR="009E27A8" w:rsidRDefault="009E27A8" w:rsidP="00AE54DE">
            <w:pPr>
              <w:keepNext/>
              <w:spacing w:before="0" w:after="0"/>
              <w:jc w:val="center"/>
            </w:pPr>
            <w:r>
              <w:t>V</w:t>
            </w:r>
            <w:r w:rsidRPr="00235052">
              <w:rPr>
                <w:vertAlign w:val="subscript"/>
              </w:rPr>
              <w:t>S</w:t>
            </w:r>
            <w:r w:rsidR="00AE54DE">
              <w:rPr>
                <w:vertAlign w:val="subscript"/>
              </w:rPr>
              <w:t>K1</w:t>
            </w:r>
          </w:p>
        </w:tc>
        <w:tc>
          <w:tcPr>
            <w:tcW w:w="1126" w:type="dxa"/>
            <w:vAlign w:val="center"/>
          </w:tcPr>
          <w:p w:rsidR="009E27A8" w:rsidRPr="00227BDC" w:rsidRDefault="009E27A8"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1073" w:type="dxa"/>
            <w:vAlign w:val="center"/>
          </w:tcPr>
          <w:p w:rsidR="009E27A8" w:rsidRPr="00C93FAE" w:rsidRDefault="000836AE" w:rsidP="002A75A0">
            <w:pPr>
              <w:keepNext/>
              <w:spacing w:before="0" w:after="0"/>
              <w:jc w:val="right"/>
            </w:pPr>
            <w:r>
              <w:t>500,5</w:t>
            </w:r>
          </w:p>
        </w:tc>
      </w:tr>
      <w:tr w:rsidR="009E27A8" w:rsidTr="00AE54DE">
        <w:trPr>
          <w:trHeight w:val="397"/>
        </w:trPr>
        <w:tc>
          <w:tcPr>
            <w:tcW w:w="6360" w:type="dxa"/>
            <w:vAlign w:val="center"/>
          </w:tcPr>
          <w:p w:rsidR="009E27A8" w:rsidRDefault="009E27A8" w:rsidP="009E27A8">
            <w:pPr>
              <w:keepNext/>
              <w:spacing w:before="0" w:after="0"/>
              <w:jc w:val="left"/>
            </w:pPr>
            <w:r>
              <w:t>Průtok větracího vzduchu pro KGJ (zima +15 °C)</w:t>
            </w:r>
          </w:p>
        </w:tc>
        <w:tc>
          <w:tcPr>
            <w:tcW w:w="729" w:type="dxa"/>
            <w:vAlign w:val="center"/>
          </w:tcPr>
          <w:p w:rsidR="009E27A8" w:rsidRDefault="009E27A8" w:rsidP="00AE54DE">
            <w:pPr>
              <w:keepNext/>
              <w:spacing w:before="0" w:after="0"/>
              <w:jc w:val="center"/>
            </w:pPr>
            <w:r>
              <w:t>V</w:t>
            </w:r>
            <w:r w:rsidRPr="00235052">
              <w:rPr>
                <w:vertAlign w:val="subscript"/>
              </w:rPr>
              <w:t>S</w:t>
            </w:r>
            <w:r w:rsidR="00AE54DE">
              <w:rPr>
                <w:vertAlign w:val="subscript"/>
              </w:rPr>
              <w:t>KGJ</w:t>
            </w:r>
          </w:p>
        </w:tc>
        <w:tc>
          <w:tcPr>
            <w:tcW w:w="1126" w:type="dxa"/>
            <w:vAlign w:val="center"/>
          </w:tcPr>
          <w:p w:rsidR="009E27A8" w:rsidRPr="00227BDC" w:rsidRDefault="009E27A8"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1073" w:type="dxa"/>
            <w:vAlign w:val="center"/>
          </w:tcPr>
          <w:p w:rsidR="009E27A8" w:rsidRPr="00C93FAE" w:rsidRDefault="000836AE" w:rsidP="002A75A0">
            <w:pPr>
              <w:keepNext/>
              <w:spacing w:before="0" w:after="0"/>
              <w:jc w:val="right"/>
            </w:pPr>
            <w:r>
              <w:t>6</w:t>
            </w:r>
            <w:r w:rsidR="009D0440">
              <w:t> </w:t>
            </w:r>
            <w:r>
              <w:t>008,4</w:t>
            </w:r>
          </w:p>
        </w:tc>
      </w:tr>
      <w:tr w:rsidR="009E27A8" w:rsidTr="00AE54DE">
        <w:trPr>
          <w:trHeight w:val="397"/>
        </w:trPr>
        <w:tc>
          <w:tcPr>
            <w:tcW w:w="6360" w:type="dxa"/>
            <w:shd w:val="clear" w:color="auto" w:fill="FDE9D9" w:themeFill="accent6" w:themeFillTint="33"/>
            <w:vAlign w:val="center"/>
          </w:tcPr>
          <w:p w:rsidR="009E27A8" w:rsidRDefault="009E27A8" w:rsidP="009E27A8">
            <w:pPr>
              <w:keepNext/>
              <w:spacing w:before="0" w:after="0"/>
              <w:jc w:val="left"/>
            </w:pPr>
            <w:r>
              <w:t>Celkový průtok větracího vzduchu (zima +15 °C)</w:t>
            </w:r>
          </w:p>
        </w:tc>
        <w:tc>
          <w:tcPr>
            <w:tcW w:w="729" w:type="dxa"/>
            <w:shd w:val="clear" w:color="auto" w:fill="FDE9D9" w:themeFill="accent6" w:themeFillTint="33"/>
            <w:vAlign w:val="center"/>
          </w:tcPr>
          <w:p w:rsidR="009E27A8" w:rsidRDefault="009E27A8" w:rsidP="002A75A0">
            <w:pPr>
              <w:keepNext/>
              <w:spacing w:before="0" w:after="0"/>
              <w:jc w:val="center"/>
            </w:pPr>
            <w:r>
              <w:t>V</w:t>
            </w:r>
            <w:r w:rsidRPr="00235052">
              <w:rPr>
                <w:vertAlign w:val="subscript"/>
              </w:rPr>
              <w:t>S</w:t>
            </w:r>
          </w:p>
        </w:tc>
        <w:tc>
          <w:tcPr>
            <w:tcW w:w="1126" w:type="dxa"/>
            <w:shd w:val="clear" w:color="auto" w:fill="FDE9D9" w:themeFill="accent6" w:themeFillTint="33"/>
            <w:vAlign w:val="center"/>
          </w:tcPr>
          <w:p w:rsidR="009E27A8" w:rsidRPr="00227BDC" w:rsidRDefault="009E27A8"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1073" w:type="dxa"/>
            <w:shd w:val="clear" w:color="auto" w:fill="FDE9D9" w:themeFill="accent6" w:themeFillTint="33"/>
            <w:vAlign w:val="center"/>
          </w:tcPr>
          <w:p w:rsidR="009E27A8" w:rsidRPr="00C93FAE" w:rsidRDefault="00AE54DE" w:rsidP="002A75A0">
            <w:pPr>
              <w:keepNext/>
              <w:spacing w:before="0" w:after="0"/>
              <w:jc w:val="right"/>
            </w:pPr>
            <w:r>
              <w:t>6 508,9</w:t>
            </w:r>
          </w:p>
        </w:tc>
      </w:tr>
      <w:tr w:rsidR="009E27A8" w:rsidTr="00AE54DE">
        <w:trPr>
          <w:trHeight w:val="397"/>
        </w:trPr>
        <w:tc>
          <w:tcPr>
            <w:tcW w:w="6360" w:type="dxa"/>
            <w:vAlign w:val="center"/>
          </w:tcPr>
          <w:p w:rsidR="009E27A8" w:rsidRDefault="009E27A8" w:rsidP="009E27A8">
            <w:pPr>
              <w:keepNext/>
              <w:spacing w:before="0" w:after="0"/>
              <w:jc w:val="left"/>
            </w:pPr>
            <w:r>
              <w:t>Průtok větracího vzduchu pro kotel K1 (květen 26,5 °C)</w:t>
            </w:r>
          </w:p>
        </w:tc>
        <w:tc>
          <w:tcPr>
            <w:tcW w:w="729" w:type="dxa"/>
            <w:vAlign w:val="center"/>
          </w:tcPr>
          <w:p w:rsidR="009E27A8" w:rsidRDefault="009E27A8" w:rsidP="00AE54DE">
            <w:pPr>
              <w:keepNext/>
              <w:spacing w:before="0" w:after="0"/>
              <w:jc w:val="center"/>
            </w:pPr>
            <w:r>
              <w:t>V</w:t>
            </w:r>
            <w:r w:rsidRPr="00235052">
              <w:rPr>
                <w:vertAlign w:val="subscript"/>
              </w:rPr>
              <w:t>S</w:t>
            </w:r>
            <w:r w:rsidR="00AE54DE">
              <w:rPr>
                <w:vertAlign w:val="subscript"/>
              </w:rPr>
              <w:t>K1</w:t>
            </w:r>
          </w:p>
        </w:tc>
        <w:tc>
          <w:tcPr>
            <w:tcW w:w="1126" w:type="dxa"/>
            <w:vAlign w:val="center"/>
          </w:tcPr>
          <w:p w:rsidR="009E27A8" w:rsidRPr="00227BDC" w:rsidRDefault="009E27A8"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1073" w:type="dxa"/>
            <w:vAlign w:val="center"/>
          </w:tcPr>
          <w:p w:rsidR="009E27A8" w:rsidRPr="00C93FAE" w:rsidRDefault="000836AE" w:rsidP="002A75A0">
            <w:pPr>
              <w:keepNext/>
              <w:spacing w:before="0" w:after="0"/>
              <w:jc w:val="right"/>
            </w:pPr>
            <w:r>
              <w:t>1</w:t>
            </w:r>
            <w:r w:rsidR="009D0440">
              <w:t> </w:t>
            </w:r>
            <w:r>
              <w:t>224,7</w:t>
            </w:r>
          </w:p>
        </w:tc>
      </w:tr>
      <w:tr w:rsidR="009E27A8" w:rsidTr="00AE54DE">
        <w:trPr>
          <w:trHeight w:val="397"/>
        </w:trPr>
        <w:tc>
          <w:tcPr>
            <w:tcW w:w="6360" w:type="dxa"/>
            <w:shd w:val="clear" w:color="auto" w:fill="auto"/>
            <w:vAlign w:val="center"/>
          </w:tcPr>
          <w:p w:rsidR="009E27A8" w:rsidRDefault="009E27A8" w:rsidP="009E27A8">
            <w:pPr>
              <w:keepNext/>
              <w:spacing w:before="0" w:after="0"/>
              <w:jc w:val="left"/>
            </w:pPr>
            <w:r>
              <w:t>Průtok větracího vzduchu pro KGJ (květen 26,5 °C)</w:t>
            </w:r>
          </w:p>
        </w:tc>
        <w:tc>
          <w:tcPr>
            <w:tcW w:w="729" w:type="dxa"/>
            <w:shd w:val="clear" w:color="auto" w:fill="auto"/>
            <w:vAlign w:val="center"/>
          </w:tcPr>
          <w:p w:rsidR="009E27A8" w:rsidRDefault="009E27A8" w:rsidP="00AE54DE">
            <w:pPr>
              <w:keepNext/>
              <w:spacing w:before="0" w:after="0"/>
              <w:jc w:val="center"/>
            </w:pPr>
            <w:r>
              <w:t>V</w:t>
            </w:r>
            <w:r w:rsidRPr="00235052">
              <w:rPr>
                <w:vertAlign w:val="subscript"/>
              </w:rPr>
              <w:t>S</w:t>
            </w:r>
            <w:r w:rsidR="00AE54DE">
              <w:rPr>
                <w:vertAlign w:val="subscript"/>
              </w:rPr>
              <w:t>KGJ</w:t>
            </w:r>
          </w:p>
        </w:tc>
        <w:tc>
          <w:tcPr>
            <w:tcW w:w="1126" w:type="dxa"/>
            <w:shd w:val="clear" w:color="auto" w:fill="auto"/>
            <w:vAlign w:val="center"/>
          </w:tcPr>
          <w:p w:rsidR="009E27A8" w:rsidRPr="00227BDC" w:rsidRDefault="009E27A8"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1073" w:type="dxa"/>
            <w:shd w:val="clear" w:color="auto" w:fill="auto"/>
            <w:vAlign w:val="center"/>
          </w:tcPr>
          <w:p w:rsidR="009E27A8" w:rsidRPr="00C93FAE" w:rsidRDefault="000836AE" w:rsidP="002A75A0">
            <w:pPr>
              <w:keepNext/>
              <w:spacing w:before="0" w:after="0"/>
              <w:jc w:val="right"/>
            </w:pPr>
            <w:r>
              <w:t>14</w:t>
            </w:r>
            <w:r w:rsidR="009D0440">
              <w:t> </w:t>
            </w:r>
            <w:r>
              <w:t>701,9</w:t>
            </w:r>
          </w:p>
        </w:tc>
      </w:tr>
      <w:tr w:rsidR="009E27A8" w:rsidTr="00AE54DE">
        <w:trPr>
          <w:trHeight w:val="397"/>
        </w:trPr>
        <w:tc>
          <w:tcPr>
            <w:tcW w:w="6360" w:type="dxa"/>
            <w:shd w:val="clear" w:color="auto" w:fill="FDE9D9" w:themeFill="accent6" w:themeFillTint="33"/>
            <w:vAlign w:val="center"/>
          </w:tcPr>
          <w:p w:rsidR="009E27A8" w:rsidRDefault="009E27A8" w:rsidP="009E27A8">
            <w:pPr>
              <w:keepNext/>
              <w:spacing w:before="0" w:after="0"/>
              <w:jc w:val="left"/>
            </w:pPr>
            <w:r>
              <w:t>Celkový průtok větracího vzduchu (květen 26,5 °C)</w:t>
            </w:r>
          </w:p>
        </w:tc>
        <w:tc>
          <w:tcPr>
            <w:tcW w:w="729" w:type="dxa"/>
            <w:shd w:val="clear" w:color="auto" w:fill="FDE9D9" w:themeFill="accent6" w:themeFillTint="33"/>
            <w:vAlign w:val="center"/>
          </w:tcPr>
          <w:p w:rsidR="009E27A8" w:rsidRDefault="009E27A8" w:rsidP="002A75A0">
            <w:pPr>
              <w:keepNext/>
              <w:spacing w:before="0" w:after="0"/>
              <w:jc w:val="center"/>
            </w:pPr>
            <w:r>
              <w:t>V</w:t>
            </w:r>
            <w:r w:rsidRPr="00235052">
              <w:rPr>
                <w:vertAlign w:val="subscript"/>
              </w:rPr>
              <w:t>S</w:t>
            </w:r>
          </w:p>
        </w:tc>
        <w:tc>
          <w:tcPr>
            <w:tcW w:w="1126" w:type="dxa"/>
            <w:shd w:val="clear" w:color="auto" w:fill="FDE9D9" w:themeFill="accent6" w:themeFillTint="33"/>
            <w:vAlign w:val="center"/>
          </w:tcPr>
          <w:p w:rsidR="009E27A8" w:rsidRPr="00227BDC" w:rsidRDefault="009E27A8"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1073" w:type="dxa"/>
            <w:shd w:val="clear" w:color="auto" w:fill="FDE9D9" w:themeFill="accent6" w:themeFillTint="33"/>
            <w:vAlign w:val="center"/>
          </w:tcPr>
          <w:p w:rsidR="009E27A8" w:rsidRPr="00C93FAE" w:rsidRDefault="000836AE" w:rsidP="002A75A0">
            <w:pPr>
              <w:keepNext/>
              <w:spacing w:before="0" w:after="0"/>
              <w:jc w:val="right"/>
            </w:pPr>
            <w:r>
              <w:t>15</w:t>
            </w:r>
            <w:r w:rsidR="009D0440">
              <w:t> </w:t>
            </w:r>
            <w:r>
              <w:t>926,6</w:t>
            </w:r>
          </w:p>
        </w:tc>
      </w:tr>
      <w:tr w:rsidR="009E27A8" w:rsidTr="00AE54DE">
        <w:trPr>
          <w:trHeight w:val="397"/>
        </w:trPr>
        <w:tc>
          <w:tcPr>
            <w:tcW w:w="6360" w:type="dxa"/>
            <w:vAlign w:val="center"/>
          </w:tcPr>
          <w:p w:rsidR="009E27A8" w:rsidRDefault="009E27A8" w:rsidP="009E27A8">
            <w:pPr>
              <w:keepNext/>
              <w:spacing w:before="0" w:after="0"/>
              <w:jc w:val="left"/>
            </w:pPr>
            <w:r>
              <w:t>Průtok větracího vzduchu pro kotel K1 (červenec 30 °C)</w:t>
            </w:r>
          </w:p>
        </w:tc>
        <w:tc>
          <w:tcPr>
            <w:tcW w:w="729" w:type="dxa"/>
            <w:vAlign w:val="center"/>
          </w:tcPr>
          <w:p w:rsidR="009E27A8" w:rsidRDefault="009E27A8" w:rsidP="00AE54DE">
            <w:pPr>
              <w:keepNext/>
              <w:spacing w:before="0" w:after="0"/>
              <w:jc w:val="center"/>
            </w:pPr>
            <w:r>
              <w:t>V</w:t>
            </w:r>
            <w:r w:rsidRPr="00235052">
              <w:rPr>
                <w:vertAlign w:val="subscript"/>
              </w:rPr>
              <w:t>S</w:t>
            </w:r>
            <w:r w:rsidR="00AE54DE">
              <w:rPr>
                <w:vertAlign w:val="subscript"/>
              </w:rPr>
              <w:t>K1</w:t>
            </w:r>
          </w:p>
        </w:tc>
        <w:tc>
          <w:tcPr>
            <w:tcW w:w="1126" w:type="dxa"/>
            <w:vAlign w:val="center"/>
          </w:tcPr>
          <w:p w:rsidR="009E27A8" w:rsidRPr="00227BDC" w:rsidRDefault="009E27A8"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1073" w:type="dxa"/>
            <w:vAlign w:val="center"/>
          </w:tcPr>
          <w:p w:rsidR="009E27A8" w:rsidRPr="00DC738E" w:rsidRDefault="000836AE" w:rsidP="002A75A0">
            <w:pPr>
              <w:keepNext/>
              <w:spacing w:before="0" w:after="0"/>
              <w:jc w:val="right"/>
            </w:pPr>
            <w:r>
              <w:t>2</w:t>
            </w:r>
            <w:r w:rsidR="009D0440">
              <w:t> </w:t>
            </w:r>
            <w:r>
              <w:t>106,3</w:t>
            </w:r>
          </w:p>
        </w:tc>
      </w:tr>
      <w:tr w:rsidR="009E27A8" w:rsidTr="00AE54DE">
        <w:trPr>
          <w:trHeight w:val="397"/>
        </w:trPr>
        <w:tc>
          <w:tcPr>
            <w:tcW w:w="6360" w:type="dxa"/>
            <w:vAlign w:val="center"/>
          </w:tcPr>
          <w:p w:rsidR="009E27A8" w:rsidRDefault="009E27A8" w:rsidP="009E27A8">
            <w:pPr>
              <w:keepNext/>
              <w:spacing w:before="0" w:after="0"/>
              <w:jc w:val="left"/>
            </w:pPr>
            <w:r>
              <w:t>Průtok větracího vzduchu pro KGJ (červenec 30 °C)</w:t>
            </w:r>
          </w:p>
        </w:tc>
        <w:tc>
          <w:tcPr>
            <w:tcW w:w="729" w:type="dxa"/>
            <w:vAlign w:val="center"/>
          </w:tcPr>
          <w:p w:rsidR="009E27A8" w:rsidRDefault="009E27A8" w:rsidP="00AE54DE">
            <w:pPr>
              <w:keepNext/>
              <w:spacing w:before="0" w:after="0"/>
              <w:jc w:val="center"/>
            </w:pPr>
            <w:r>
              <w:t>V</w:t>
            </w:r>
            <w:r w:rsidRPr="00235052">
              <w:rPr>
                <w:vertAlign w:val="subscript"/>
              </w:rPr>
              <w:t>S</w:t>
            </w:r>
            <w:r w:rsidR="00AE54DE">
              <w:rPr>
                <w:vertAlign w:val="subscript"/>
              </w:rPr>
              <w:t>KGJ</w:t>
            </w:r>
          </w:p>
        </w:tc>
        <w:tc>
          <w:tcPr>
            <w:tcW w:w="1126" w:type="dxa"/>
            <w:vAlign w:val="center"/>
          </w:tcPr>
          <w:p w:rsidR="009E27A8" w:rsidRPr="00227BDC" w:rsidRDefault="009E27A8" w:rsidP="002A75A0">
            <w:pPr>
              <w:keepNext/>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1073" w:type="dxa"/>
            <w:vAlign w:val="center"/>
          </w:tcPr>
          <w:p w:rsidR="009E27A8" w:rsidRPr="00DC738E" w:rsidRDefault="000836AE" w:rsidP="002A75A0">
            <w:pPr>
              <w:keepNext/>
              <w:spacing w:before="0" w:after="0"/>
              <w:jc w:val="right"/>
            </w:pPr>
            <w:r>
              <w:t>25</w:t>
            </w:r>
            <w:r w:rsidR="009D0440">
              <w:t> </w:t>
            </w:r>
            <w:r>
              <w:t>285,3</w:t>
            </w:r>
          </w:p>
        </w:tc>
      </w:tr>
      <w:tr w:rsidR="009E27A8" w:rsidTr="00AE54DE">
        <w:trPr>
          <w:trHeight w:val="397"/>
        </w:trPr>
        <w:tc>
          <w:tcPr>
            <w:tcW w:w="6360" w:type="dxa"/>
            <w:shd w:val="clear" w:color="auto" w:fill="auto"/>
            <w:vAlign w:val="center"/>
          </w:tcPr>
          <w:p w:rsidR="009E27A8" w:rsidRDefault="009E27A8" w:rsidP="009E27A8">
            <w:pPr>
              <w:spacing w:before="0" w:after="0"/>
              <w:jc w:val="left"/>
            </w:pPr>
            <w:r>
              <w:t>Celkový průtok větracího vzduchu (červenec 30 °C)</w:t>
            </w:r>
          </w:p>
        </w:tc>
        <w:tc>
          <w:tcPr>
            <w:tcW w:w="729" w:type="dxa"/>
            <w:shd w:val="clear" w:color="auto" w:fill="auto"/>
            <w:vAlign w:val="center"/>
          </w:tcPr>
          <w:p w:rsidR="009E27A8" w:rsidRDefault="009E27A8" w:rsidP="002A75A0">
            <w:pPr>
              <w:spacing w:before="0" w:after="0"/>
              <w:jc w:val="center"/>
            </w:pPr>
            <w:r>
              <w:t>V</w:t>
            </w:r>
            <w:r w:rsidRPr="00235052">
              <w:rPr>
                <w:vertAlign w:val="subscript"/>
              </w:rPr>
              <w:t>S</w:t>
            </w:r>
          </w:p>
        </w:tc>
        <w:tc>
          <w:tcPr>
            <w:tcW w:w="1126" w:type="dxa"/>
            <w:shd w:val="clear" w:color="auto" w:fill="auto"/>
            <w:vAlign w:val="center"/>
          </w:tcPr>
          <w:p w:rsidR="009E27A8" w:rsidRPr="00227BDC" w:rsidRDefault="009E27A8" w:rsidP="002A75A0">
            <w:pPr>
              <w:spacing w:before="0" w:after="0"/>
              <w:jc w:val="center"/>
              <w:rPr>
                <w:lang w:val="en-US"/>
              </w:rPr>
            </w:pPr>
            <w:r>
              <w:rPr>
                <w:lang w:val="en-US"/>
              </w:rPr>
              <w:t>[m</w:t>
            </w:r>
            <w:r w:rsidRPr="00227BDC">
              <w:rPr>
                <w:vertAlign w:val="superscript"/>
                <w:lang w:val="en-US"/>
              </w:rPr>
              <w:t>3</w:t>
            </w:r>
            <w:r>
              <w:rPr>
                <w:lang w:val="en-US"/>
              </w:rPr>
              <w:t>·h</w:t>
            </w:r>
            <w:r w:rsidRPr="00227BDC">
              <w:rPr>
                <w:vertAlign w:val="superscript"/>
                <w:lang w:val="en-US"/>
              </w:rPr>
              <w:t>-1</w:t>
            </w:r>
            <w:r>
              <w:rPr>
                <w:lang w:val="en-US"/>
              </w:rPr>
              <w:t>]</w:t>
            </w:r>
          </w:p>
        </w:tc>
        <w:tc>
          <w:tcPr>
            <w:tcW w:w="1073" w:type="dxa"/>
            <w:shd w:val="clear" w:color="auto" w:fill="auto"/>
            <w:vAlign w:val="center"/>
          </w:tcPr>
          <w:p w:rsidR="009E27A8" w:rsidRPr="00DC738E" w:rsidRDefault="000836AE" w:rsidP="002A75A0">
            <w:pPr>
              <w:spacing w:before="0" w:after="0"/>
              <w:jc w:val="right"/>
            </w:pPr>
            <w:r>
              <w:t>27</w:t>
            </w:r>
            <w:r w:rsidR="009D0440">
              <w:t> </w:t>
            </w:r>
            <w:r>
              <w:t>391,6</w:t>
            </w:r>
          </w:p>
        </w:tc>
      </w:tr>
    </w:tbl>
    <w:p w:rsidR="00960080" w:rsidRPr="000836AE" w:rsidRDefault="000836AE" w:rsidP="00511836">
      <w:r>
        <w:t xml:space="preserve">Celkový potřebný průtok spalovacího vzduchu pro variantu B je v zimě </w:t>
      </w:r>
      <w:r w:rsidR="00074B6B">
        <w:t>6 508,9</w:t>
      </w:r>
      <w:r>
        <w:t xml:space="preserve"> m</w:t>
      </w:r>
      <w:r w:rsidRPr="00C55FBC">
        <w:rPr>
          <w:vertAlign w:val="superscript"/>
        </w:rPr>
        <w:t>3</w:t>
      </w:r>
      <w:r>
        <w:t>·h</w:t>
      </w:r>
      <w:r w:rsidRPr="00C55FBC">
        <w:rPr>
          <w:vertAlign w:val="superscript"/>
        </w:rPr>
        <w:t>-1</w:t>
      </w:r>
      <w:r>
        <w:t xml:space="preserve"> a v květnu 15</w:t>
      </w:r>
      <w:r w:rsidR="009D0440">
        <w:t> </w:t>
      </w:r>
      <w:r>
        <w:t>926,6 m</w:t>
      </w:r>
      <w:r w:rsidRPr="00C55FBC">
        <w:rPr>
          <w:vertAlign w:val="superscript"/>
        </w:rPr>
        <w:t>3</w:t>
      </w:r>
      <w:r>
        <w:t>·h</w:t>
      </w:r>
      <w:r w:rsidRPr="00C55FBC">
        <w:rPr>
          <w:vertAlign w:val="superscript"/>
        </w:rPr>
        <w:t>-1</w:t>
      </w:r>
      <w:r>
        <w:t>.</w:t>
      </w:r>
    </w:p>
    <w:p w:rsidR="00DC738E" w:rsidRPr="00857269" w:rsidRDefault="0098411D" w:rsidP="00511836">
      <w:pPr>
        <w:rPr>
          <w:b/>
        </w:rPr>
      </w:pPr>
      <w:r w:rsidRPr="00857269">
        <w:rPr>
          <w:b/>
        </w:rPr>
        <w:t>Celkové požadavky na větrání</w:t>
      </w:r>
    </w:p>
    <w:p w:rsidR="0098411D" w:rsidRDefault="00857269" w:rsidP="00857269">
      <w:r>
        <w:t xml:space="preserve">Celkový požadavek na větrání (spalovací + větrací vzduch) pro variantu B je v zimě </w:t>
      </w:r>
      <w:r w:rsidR="00074B6B">
        <w:t>7 793,4</w:t>
      </w:r>
      <w:r>
        <w:t> m</w:t>
      </w:r>
      <w:r w:rsidRPr="00C55FBC">
        <w:rPr>
          <w:vertAlign w:val="superscript"/>
        </w:rPr>
        <w:t>3</w:t>
      </w:r>
      <w:r>
        <w:t>·h</w:t>
      </w:r>
      <w:r w:rsidRPr="00C55FBC">
        <w:rPr>
          <w:vertAlign w:val="superscript"/>
        </w:rPr>
        <w:t>-1</w:t>
      </w:r>
      <w:r>
        <w:t xml:space="preserve"> a v květnu 17</w:t>
      </w:r>
      <w:r w:rsidR="009D0440">
        <w:t> </w:t>
      </w:r>
      <w:r>
        <w:t>262,4 m</w:t>
      </w:r>
      <w:r w:rsidRPr="00C55FBC">
        <w:rPr>
          <w:vertAlign w:val="superscript"/>
        </w:rPr>
        <w:t>3</w:t>
      </w:r>
      <w:r>
        <w:t>·h</w:t>
      </w:r>
      <w:r w:rsidRPr="00C55FBC">
        <w:rPr>
          <w:vertAlign w:val="superscript"/>
        </w:rPr>
        <w:t>-1</w:t>
      </w:r>
      <w:r>
        <w:t>. Z toho je patrné, že stávající přívod vzduchu (</w:t>
      </w:r>
      <w:r w:rsidR="0004021C">
        <w:t>5</w:t>
      </w:r>
      <w:r w:rsidR="009D0440">
        <w:t> </w:t>
      </w:r>
      <w:r w:rsidR="0004021C">
        <w:t>0</w:t>
      </w:r>
      <w:r>
        <w:t>00 m</w:t>
      </w:r>
      <w:r w:rsidRPr="00C55FBC">
        <w:rPr>
          <w:vertAlign w:val="superscript"/>
        </w:rPr>
        <w:t>3</w:t>
      </w:r>
      <w:r>
        <w:t>·h</w:t>
      </w:r>
      <w:r w:rsidRPr="00C55FBC">
        <w:rPr>
          <w:vertAlign w:val="superscript"/>
        </w:rPr>
        <w:t>-1</w:t>
      </w:r>
      <w:r>
        <w:t xml:space="preserve">) nedostačuje. </w:t>
      </w:r>
      <w:r w:rsidRPr="007D6F33">
        <w:rPr>
          <w:b/>
        </w:rPr>
        <w:t>Proto bude využito dle dohody s provozovatelem přívodu z VZT zařízení č. 6 (strojovna ÚT)</w:t>
      </w:r>
      <w:r w:rsidR="007D6F33" w:rsidRPr="007D6F33">
        <w:rPr>
          <w:b/>
        </w:rPr>
        <w:t xml:space="preserve"> – viz </w:t>
      </w:r>
      <w:r w:rsidR="007D6F33" w:rsidRPr="007D6F33">
        <w:rPr>
          <w:b/>
        </w:rPr>
        <w:fldChar w:fldCharType="begin"/>
      </w:r>
      <w:r w:rsidR="007D6F33" w:rsidRPr="007D6F33">
        <w:rPr>
          <w:b/>
        </w:rPr>
        <w:instrText xml:space="preserve"> REF _Ref58845907 \h  \* MERGEFORMAT </w:instrText>
      </w:r>
      <w:r w:rsidR="007D6F33" w:rsidRPr="007D6F33">
        <w:rPr>
          <w:b/>
        </w:rPr>
      </w:r>
      <w:r w:rsidR="007D6F33" w:rsidRPr="007D6F33">
        <w:rPr>
          <w:b/>
        </w:rPr>
        <w:fldChar w:fldCharType="separate"/>
      </w:r>
      <w:r w:rsidR="00816426" w:rsidRPr="00816426">
        <w:rPr>
          <w:b/>
        </w:rPr>
        <w:t xml:space="preserve">Obr. </w:t>
      </w:r>
      <w:r w:rsidR="00816426" w:rsidRPr="00816426">
        <w:rPr>
          <w:b/>
          <w:noProof/>
        </w:rPr>
        <w:t>15</w:t>
      </w:r>
      <w:r w:rsidR="007D6F33" w:rsidRPr="007D6F33">
        <w:rPr>
          <w:b/>
        </w:rPr>
        <w:fldChar w:fldCharType="end"/>
      </w:r>
      <w:r w:rsidR="009A0892">
        <w:rPr>
          <w:b/>
        </w:rPr>
        <w:t>. Kapacita tohoto zařízení je</w:t>
      </w:r>
      <w:r w:rsidR="009A0892">
        <w:rPr>
          <w:b/>
        </w:rPr>
        <w:br/>
      </w:r>
      <w:r w:rsidRPr="007D6F33">
        <w:rPr>
          <w:b/>
        </w:rPr>
        <w:t>20</w:t>
      </w:r>
      <w:r w:rsidR="009A0892">
        <w:rPr>
          <w:b/>
        </w:rPr>
        <w:t> 000 </w:t>
      </w:r>
      <w:r w:rsidRPr="007D6F33">
        <w:rPr>
          <w:b/>
        </w:rPr>
        <w:t>m</w:t>
      </w:r>
      <w:r w:rsidRPr="007D6F33">
        <w:rPr>
          <w:b/>
          <w:vertAlign w:val="superscript"/>
        </w:rPr>
        <w:t>3</w:t>
      </w:r>
      <w:r w:rsidRPr="007D6F33">
        <w:rPr>
          <w:b/>
        </w:rPr>
        <w:t>·h</w:t>
      </w:r>
      <w:r w:rsidRPr="007D6F33">
        <w:rPr>
          <w:b/>
          <w:vertAlign w:val="superscript"/>
        </w:rPr>
        <w:t>-1</w:t>
      </w:r>
      <w:r w:rsidRPr="007D6F33">
        <w:rPr>
          <w:b/>
        </w:rPr>
        <w:t>.</w:t>
      </w:r>
      <w:r w:rsidR="009A0892">
        <w:rPr>
          <w:b/>
        </w:rPr>
        <w:t> </w:t>
      </w:r>
      <w:r w:rsidRPr="007D6F33">
        <w:rPr>
          <w:b/>
        </w:rPr>
        <w:t xml:space="preserve">Nově bude pro větrání strojovny ÚT ponecháno pouze </w:t>
      </w:r>
      <w:r w:rsidR="00F977B1" w:rsidRPr="007D6F33">
        <w:rPr>
          <w:b/>
        </w:rPr>
        <w:t>7 5</w:t>
      </w:r>
      <w:r w:rsidRPr="007D6F33">
        <w:rPr>
          <w:b/>
        </w:rPr>
        <w:t>00 m</w:t>
      </w:r>
      <w:r w:rsidRPr="007D6F33">
        <w:rPr>
          <w:b/>
          <w:vertAlign w:val="superscript"/>
        </w:rPr>
        <w:t>3</w:t>
      </w:r>
      <w:r w:rsidRPr="007D6F33">
        <w:rPr>
          <w:b/>
        </w:rPr>
        <w:t>·h</w:t>
      </w:r>
      <w:r w:rsidRPr="007D6F33">
        <w:rPr>
          <w:b/>
          <w:vertAlign w:val="superscript"/>
        </w:rPr>
        <w:t>-1</w:t>
      </w:r>
      <w:r w:rsidRPr="007D6F33">
        <w:rPr>
          <w:b/>
        </w:rPr>
        <w:t>. Zbylých 1</w:t>
      </w:r>
      <w:r w:rsidR="00F977B1" w:rsidRPr="007D6F33">
        <w:rPr>
          <w:b/>
        </w:rPr>
        <w:t>2 5</w:t>
      </w:r>
      <w:r w:rsidRPr="007D6F33">
        <w:rPr>
          <w:b/>
        </w:rPr>
        <w:t>00</w:t>
      </w:r>
      <w:r w:rsidR="00D52E18" w:rsidRPr="007D6F33">
        <w:rPr>
          <w:b/>
        </w:rPr>
        <w:t> </w:t>
      </w:r>
      <w:r w:rsidRPr="007D6F33">
        <w:rPr>
          <w:b/>
        </w:rPr>
        <w:t>m</w:t>
      </w:r>
      <w:r w:rsidRPr="007D6F33">
        <w:rPr>
          <w:b/>
          <w:vertAlign w:val="superscript"/>
        </w:rPr>
        <w:t>3</w:t>
      </w:r>
      <w:r w:rsidRPr="007D6F33">
        <w:rPr>
          <w:b/>
        </w:rPr>
        <w:t>·h</w:t>
      </w:r>
      <w:r w:rsidRPr="007D6F33">
        <w:rPr>
          <w:b/>
          <w:vertAlign w:val="superscript"/>
        </w:rPr>
        <w:t>-1</w:t>
      </w:r>
      <w:r w:rsidRPr="007D6F33">
        <w:rPr>
          <w:b/>
        </w:rPr>
        <w:t xml:space="preserve"> bude dovedeno přímo ke kogeneraci. </w:t>
      </w:r>
      <w:r w:rsidR="00620C73" w:rsidRPr="007D6F33">
        <w:rPr>
          <w:b/>
        </w:rPr>
        <w:t>Tím se spolu s využitím stávajícího zař. 7 (kotelna 3S302B) zajistí přívod 17</w:t>
      </w:r>
      <w:r w:rsidR="00F977B1" w:rsidRPr="007D6F33">
        <w:rPr>
          <w:b/>
        </w:rPr>
        <w:t> </w:t>
      </w:r>
      <w:r w:rsidR="00620C73" w:rsidRPr="007D6F33">
        <w:rPr>
          <w:b/>
        </w:rPr>
        <w:t>500 m</w:t>
      </w:r>
      <w:r w:rsidR="00620C73" w:rsidRPr="007D6F33">
        <w:rPr>
          <w:b/>
          <w:vertAlign w:val="superscript"/>
        </w:rPr>
        <w:t>3</w:t>
      </w:r>
      <w:r w:rsidR="00620C73" w:rsidRPr="007D6F33">
        <w:rPr>
          <w:b/>
        </w:rPr>
        <w:t>·h</w:t>
      </w:r>
      <w:r w:rsidR="00620C73" w:rsidRPr="007D6F33">
        <w:rPr>
          <w:b/>
          <w:vertAlign w:val="superscript"/>
        </w:rPr>
        <w:t>-1</w:t>
      </w:r>
      <w:r w:rsidR="00620C73" w:rsidRPr="007D6F33">
        <w:rPr>
          <w:b/>
        </w:rPr>
        <w:t>.</w:t>
      </w:r>
      <w:r w:rsidR="00620C73">
        <w:rPr>
          <w:b/>
        </w:rPr>
        <w:t xml:space="preserve"> </w:t>
      </w:r>
      <w:r w:rsidR="00620C73">
        <w:t xml:space="preserve">Stejným způsobem bude situace řešena na odvodu vzduchu. Změna je patrné ze stávajícího a nového VZT schématu – viz </w:t>
      </w:r>
      <w:r w:rsidR="00455C29">
        <w:fldChar w:fldCharType="begin"/>
      </w:r>
      <w:r w:rsidR="00455C29">
        <w:instrText xml:space="preserve"> REF _Ref56500856 \h </w:instrText>
      </w:r>
      <w:r w:rsidR="00455C29">
        <w:fldChar w:fldCharType="separate"/>
      </w:r>
      <w:r w:rsidR="00816426" w:rsidRPr="002410EE">
        <w:t xml:space="preserve">Příloha č. </w:t>
      </w:r>
      <w:r w:rsidR="00816426">
        <w:rPr>
          <w:noProof/>
        </w:rPr>
        <w:t>14</w:t>
      </w:r>
      <w:r w:rsidR="00455C29">
        <w:fldChar w:fldCharType="end"/>
      </w:r>
      <w:r w:rsidR="00455C29">
        <w:t xml:space="preserve">, </w:t>
      </w:r>
      <w:r w:rsidR="00455C29">
        <w:fldChar w:fldCharType="begin"/>
      </w:r>
      <w:r w:rsidR="00455C29">
        <w:instrText xml:space="preserve"> REF _Ref56500866 \h </w:instrText>
      </w:r>
      <w:r w:rsidR="00455C29">
        <w:fldChar w:fldCharType="separate"/>
      </w:r>
      <w:r w:rsidR="00816426" w:rsidRPr="002410EE">
        <w:t xml:space="preserve">Příloha č. </w:t>
      </w:r>
      <w:r w:rsidR="00816426">
        <w:rPr>
          <w:noProof/>
        </w:rPr>
        <w:t>15</w:t>
      </w:r>
      <w:r w:rsidR="00455C29">
        <w:fldChar w:fldCharType="end"/>
      </w:r>
      <w:r w:rsidR="00455C29">
        <w:t>.</w:t>
      </w:r>
    </w:p>
    <w:p w:rsidR="009A0892" w:rsidRPr="009A0892" w:rsidRDefault="009A0892" w:rsidP="00857269">
      <w:pPr>
        <w:rPr>
          <w:b/>
        </w:rPr>
      </w:pPr>
      <w:r w:rsidRPr="009A0892">
        <w:rPr>
          <w:b/>
        </w:rPr>
        <w:t>Úpravy VZT systému</w:t>
      </w:r>
    </w:p>
    <w:p w:rsidR="009A0892" w:rsidRDefault="009A0892" w:rsidP="00857269">
      <w:r>
        <w:t>Součástí úprav VZT systému bude výměna ventilátoru, které je součástí VZT zařízení č. 6. Jednou z možností je náhrada za volná kola s EC pohonem. Množství přiváděného vzduchu (20 000 m</w:t>
      </w:r>
      <w:r w:rsidRPr="009A0892">
        <w:rPr>
          <w:vertAlign w:val="superscript"/>
        </w:rPr>
        <w:t>3</w:t>
      </w:r>
      <w:r>
        <w:t>·h</w:t>
      </w:r>
      <w:r w:rsidRPr="009A0892">
        <w:rPr>
          <w:vertAlign w:val="superscript"/>
        </w:rPr>
        <w:t>-1</w:t>
      </w:r>
      <w:r>
        <w:t xml:space="preserve">) v kombinaci s tlakovou ztrátou může být </w:t>
      </w:r>
      <w:r w:rsidR="005C5F0E">
        <w:t xml:space="preserve">výkonově na hraně při použití jednoho ventilátoru (volná kola s EC pohonem). Alternativou je použít dva ventilátory paralelně s menším dopravním množstvím. Výhodou je možnost alespoň částečného chodu při poruše jednoho ventilátoru, nevýhodou naopak větší nároky na prostor. Poslední nabídnutou možností, která splňuje požadavky na ekodesing, je ventilátor s IE pohonem s frekvenčním řízením otáček. U tohoto řešení s jedním ventilátorem by odpadnul problém </w:t>
      </w:r>
      <w:r w:rsidR="00B05C78">
        <w:t>s hraničním množstvím přiváděného vzduchu.</w:t>
      </w:r>
    </w:p>
    <w:p w:rsidR="00B05C78" w:rsidRDefault="00B05C78" w:rsidP="00857269">
      <w:r>
        <w:t>Dalšími úpravami VZT systému jsou úprava trasy vzduchovodů a vytvoření prostupu ze strojovny do kotelny 1 (místnost 3S302B). Celkové odhadované náklady na úpravy VZT systému, vč. výměny ventilátoru činí 750 tis. Kč bez DPH.</w:t>
      </w:r>
    </w:p>
    <w:p w:rsidR="002A75A0" w:rsidRDefault="002A75A0" w:rsidP="00857269"/>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1720C5" w:rsidTr="001720C5">
        <w:tc>
          <w:tcPr>
            <w:tcW w:w="9212" w:type="dxa"/>
          </w:tcPr>
          <w:p w:rsidR="001720C5" w:rsidRDefault="001720C5" w:rsidP="001720C5">
            <w:pPr>
              <w:keepNext/>
              <w:jc w:val="center"/>
            </w:pPr>
            <w:r>
              <w:rPr>
                <w:noProof/>
                <w:lang w:eastAsia="cs-CZ"/>
              </w:rPr>
              <w:drawing>
                <wp:inline distT="0" distB="0" distL="0" distR="0" wp14:anchorId="2516D3F1" wp14:editId="77CD88A8">
                  <wp:extent cx="5490235" cy="3088257"/>
                  <wp:effectExtent l="0" t="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VZT_ZAŘÍZENÍ.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525104" cy="3107871"/>
                          </a:xfrm>
                          <a:prstGeom prst="rect">
                            <a:avLst/>
                          </a:prstGeom>
                        </pic:spPr>
                      </pic:pic>
                    </a:graphicData>
                  </a:graphic>
                </wp:inline>
              </w:drawing>
            </w:r>
          </w:p>
        </w:tc>
      </w:tr>
      <w:tr w:rsidR="001720C5" w:rsidTr="001720C5">
        <w:tc>
          <w:tcPr>
            <w:tcW w:w="9212" w:type="dxa"/>
          </w:tcPr>
          <w:p w:rsidR="001720C5" w:rsidRPr="001720C5" w:rsidRDefault="001720C5" w:rsidP="001720C5">
            <w:pPr>
              <w:pStyle w:val="Obrzek"/>
              <w:keepNext w:val="0"/>
            </w:pPr>
            <w:bookmarkStart w:id="106" w:name="_Ref58845907"/>
            <w:r>
              <w:t xml:space="preserve">Obr. </w:t>
            </w:r>
            <w:fldSimple w:instr=" SEQ Obr. \* ARABIC ">
              <w:r w:rsidR="00816426">
                <w:rPr>
                  <w:noProof/>
                </w:rPr>
                <w:t>15</w:t>
              </w:r>
            </w:fldSimple>
            <w:bookmarkEnd w:id="106"/>
            <w:r>
              <w:t xml:space="preserve"> VZT zařízení č. 6 (foto Bres spol. s r. o.)</w:t>
            </w:r>
          </w:p>
        </w:tc>
      </w:tr>
    </w:tbl>
    <w:p w:rsidR="00370BDE" w:rsidRDefault="00370BDE" w:rsidP="00370BDE">
      <w:pPr>
        <w:pStyle w:val="Nadpis3"/>
      </w:pPr>
      <w:bookmarkStart w:id="107" w:name="_Toc58949374"/>
      <w:r>
        <w:t>Odkouření</w:t>
      </w:r>
      <w:bookmarkEnd w:id="107"/>
    </w:p>
    <w:p w:rsidR="00D75051" w:rsidRDefault="00D75051" w:rsidP="00D75051">
      <w:r>
        <w:t>Odkouření obou kotlů, které se budou demontovat je provedeno kouřovody Selkirk systém SUPRA 450</w:t>
      </w:r>
      <w:r w:rsidR="00BA676D">
        <w:t xml:space="preserve"> o vnitřním průměru</w:t>
      </w:r>
      <w:r>
        <w:t>. Stávající odkouření není vyhovující pro využití u nové KGJ hned ze dvou důvodů. Tím prvním je stáří kouřovodů. Tím druhým, závažnějším, je tlaková třída spalinové cesty. Kogenerační jednotky mají proti plynovým kotlům velmi silný výtlak. Používají se pro ně kouřovody tlakové třídy spalinové cesty (H1 – vysokopřetlak do 5</w:t>
      </w:r>
      <w:r w:rsidR="00825E24">
        <w:t> </w:t>
      </w:r>
      <w:r>
        <w:t>000</w:t>
      </w:r>
      <w:r w:rsidR="00825E24">
        <w:t> </w:t>
      </w:r>
      <w:r>
        <w:t xml:space="preserve">Pa). </w:t>
      </w:r>
    </w:p>
    <w:p w:rsidR="00D75051" w:rsidRDefault="00AF53C3" w:rsidP="00D75051">
      <w:r>
        <w:t xml:space="preserve">Kouřovod </w:t>
      </w:r>
      <w:r w:rsidR="00825E24">
        <w:t>kogenerační jednotky bude proveden ve vyšší tlakové třídě H1, avšak v nižší dimenzi</w:t>
      </w:r>
      <w:r w:rsidR="00275E28">
        <w:t>.</w:t>
      </w:r>
      <w:r w:rsidR="00825E24">
        <w:t xml:space="preserve"> </w:t>
      </w:r>
      <w:r w:rsidR="00C73182">
        <w:t xml:space="preserve">Na vodorovné trase budou umístěny dva tlumiče hluku. Podle předběžného výpočtu bude kouřovod v první části v dimenzi DN150. Za druhým tlumičem hluku přejde kouřovod do dimenze DN200. Vložka bude také v dimenzi DN200. </w:t>
      </w:r>
      <w:r w:rsidR="00275E28">
        <w:t xml:space="preserve">Kouřovod bude po celé trase kotven. </w:t>
      </w:r>
      <w:r w:rsidR="00D75051">
        <w:t>Náklady na vybudování spalinové cesty (materiál + práce) jsou odhadnuty na 700</w:t>
      </w:r>
      <w:r w:rsidR="00C73182">
        <w:t> </w:t>
      </w:r>
      <w:r w:rsidR="00D75051">
        <w:t>tis.</w:t>
      </w:r>
      <w:r w:rsidR="00C73182">
        <w:t> </w:t>
      </w:r>
      <w:r w:rsidR="00D75051">
        <w:t>Kč bez DPH.</w:t>
      </w:r>
    </w:p>
    <w:p w:rsidR="00370BDE" w:rsidRDefault="00370BDE" w:rsidP="00370BDE">
      <w:pPr>
        <w:pStyle w:val="Nadpis3"/>
      </w:pPr>
      <w:bookmarkStart w:id="108" w:name="_Toc58949375"/>
      <w:r>
        <w:t>Parametry kompresorového chlazení, investiční náklady</w:t>
      </w:r>
      <w:bookmarkEnd w:id="108"/>
    </w:p>
    <w:p w:rsidR="008B1AD0" w:rsidRDefault="008B1AD0" w:rsidP="008B1AD0">
      <w:r>
        <w:t>Navrženou kompresorovou chladicí jednotkou</w:t>
      </w:r>
      <w:r w:rsidR="00F11D82">
        <w:t xml:space="preserve"> vzduch/voda</w:t>
      </w:r>
      <w:r>
        <w:t xml:space="preserve"> (viz</w:t>
      </w:r>
      <w:r w:rsidR="00E80271">
        <w:t xml:space="preserve"> </w:t>
      </w:r>
      <w:r w:rsidR="00E80271">
        <w:fldChar w:fldCharType="begin"/>
      </w:r>
      <w:r w:rsidR="00E80271">
        <w:instrText xml:space="preserve"> REF _Ref58843070 \h </w:instrText>
      </w:r>
      <w:r w:rsidR="00E80271">
        <w:fldChar w:fldCharType="separate"/>
      </w:r>
      <w:r w:rsidR="00816426">
        <w:t xml:space="preserve">Obr. </w:t>
      </w:r>
      <w:r w:rsidR="00816426">
        <w:rPr>
          <w:noProof/>
        </w:rPr>
        <w:t>16</w:t>
      </w:r>
      <w:r w:rsidR="00E80271">
        <w:fldChar w:fldCharType="end"/>
      </w:r>
      <w:r>
        <w:t>) je jednotka</w:t>
      </w:r>
      <w:r w:rsidR="00E80271">
        <w:t xml:space="preserve"> Aermec NRB1400 A°</w:t>
      </w:r>
      <w:r>
        <w:t xml:space="preserve"> </w:t>
      </w:r>
      <w:r w:rsidR="00282ED3">
        <w:t>se jmenovitým chladicím výkonem 404,9</w:t>
      </w:r>
      <w:r w:rsidR="00E80271">
        <w:t> </w:t>
      </w:r>
      <w:r w:rsidR="00282ED3">
        <w:t xml:space="preserve">kW </w:t>
      </w:r>
      <w:r>
        <w:t xml:space="preserve">a </w:t>
      </w:r>
      <w:r w:rsidR="00282ED3">
        <w:t xml:space="preserve">elektrickým </w:t>
      </w:r>
      <w:r>
        <w:t xml:space="preserve">příkonem </w:t>
      </w:r>
      <w:r w:rsidR="00282ED3">
        <w:t>135,4</w:t>
      </w:r>
      <w:r w:rsidR="00E80271">
        <w:t> </w:t>
      </w:r>
      <w:r w:rsidR="00282ED3">
        <w:t>k</w:t>
      </w:r>
      <w:r>
        <w:t xml:space="preserve">W. Obecné technické parametry jsou shrnuty v </w:t>
      </w:r>
      <w:r>
        <w:fldChar w:fldCharType="begin"/>
      </w:r>
      <w:r>
        <w:instrText xml:space="preserve"> REF _Ref56502676 \h </w:instrText>
      </w:r>
      <w:r>
        <w:fldChar w:fldCharType="separate"/>
      </w:r>
      <w:r w:rsidR="00816426">
        <w:t xml:space="preserve">Tab. </w:t>
      </w:r>
      <w:r w:rsidR="00816426">
        <w:rPr>
          <w:noProof/>
        </w:rPr>
        <w:t>18</w:t>
      </w:r>
      <w:r>
        <w:fldChar w:fldCharType="end"/>
      </w:r>
      <w:r>
        <w:t>.</w:t>
      </w:r>
    </w:p>
    <w:p w:rsidR="008B1AD0" w:rsidRPr="008B1AD0" w:rsidRDefault="008B1AD0" w:rsidP="008B1AD0">
      <w:pPr>
        <w:pStyle w:val="Tabulka"/>
      </w:pPr>
      <w:bookmarkStart w:id="109" w:name="_Ref56502676"/>
      <w:r>
        <w:t xml:space="preserve">Tab. </w:t>
      </w:r>
      <w:fldSimple w:instr=" SEQ Tab. \* ARABIC ">
        <w:r w:rsidR="00816426">
          <w:rPr>
            <w:noProof/>
          </w:rPr>
          <w:t>18</w:t>
        </w:r>
      </w:fldSimple>
      <w:bookmarkEnd w:id="109"/>
      <w:r>
        <w:t xml:space="preserve"> Parametry navržené kompresorové chladicí jednotky</w:t>
      </w:r>
      <w:r w:rsidR="00E80271">
        <w:t xml:space="preserve"> Aermec NRB1400 A° </w:t>
      </w:r>
      <w:r>
        <w:rPr>
          <w:lang w:val="en-US"/>
        </w:rPr>
        <w:t>[9]</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4677"/>
      </w:tblGrid>
      <w:tr w:rsidR="008B1AD0" w:rsidTr="00492D91">
        <w:trPr>
          <w:trHeight w:val="624"/>
        </w:trPr>
        <w:tc>
          <w:tcPr>
            <w:tcW w:w="4503" w:type="dxa"/>
            <w:vAlign w:val="center"/>
          </w:tcPr>
          <w:p w:rsidR="008B1AD0" w:rsidRPr="00376FB3" w:rsidRDefault="008B1AD0" w:rsidP="00282ED3">
            <w:pPr>
              <w:keepNext/>
              <w:spacing w:before="0" w:after="0"/>
              <w:jc w:val="left"/>
              <w:rPr>
                <w:i/>
              </w:rPr>
            </w:pPr>
            <w:r w:rsidRPr="00376FB3">
              <w:rPr>
                <w:i/>
              </w:rPr>
              <w:t>Chlad</w:t>
            </w:r>
            <w:r w:rsidR="00282ED3">
              <w:rPr>
                <w:i/>
              </w:rPr>
              <w:t>i</w:t>
            </w:r>
            <w:r w:rsidRPr="00376FB3">
              <w:rPr>
                <w:i/>
              </w:rPr>
              <w:t xml:space="preserve">cí výkon </w:t>
            </w:r>
          </w:p>
        </w:tc>
        <w:tc>
          <w:tcPr>
            <w:tcW w:w="4677" w:type="dxa"/>
            <w:vAlign w:val="center"/>
          </w:tcPr>
          <w:p w:rsidR="008B1AD0" w:rsidRDefault="008B1AD0" w:rsidP="008B1AD0">
            <w:pPr>
              <w:keepNext/>
              <w:spacing w:before="0" w:after="0"/>
              <w:jc w:val="left"/>
            </w:pPr>
            <w:r>
              <w:t>404,9 kW (při parametrech chlazené vody 7/12 °C a venkovní teplotě 35 °C)</w:t>
            </w:r>
          </w:p>
        </w:tc>
      </w:tr>
      <w:tr w:rsidR="008B1AD0" w:rsidTr="00492D91">
        <w:trPr>
          <w:trHeight w:val="397"/>
        </w:trPr>
        <w:tc>
          <w:tcPr>
            <w:tcW w:w="4503" w:type="dxa"/>
          </w:tcPr>
          <w:p w:rsidR="008B1AD0" w:rsidRPr="00376FB3" w:rsidRDefault="008B1AD0" w:rsidP="009C0640">
            <w:pPr>
              <w:keepNext/>
              <w:spacing w:before="0" w:after="0"/>
              <w:jc w:val="left"/>
              <w:rPr>
                <w:i/>
              </w:rPr>
            </w:pPr>
            <w:r w:rsidRPr="00376FB3">
              <w:rPr>
                <w:i/>
              </w:rPr>
              <w:t>Elektrický příkon</w:t>
            </w:r>
          </w:p>
        </w:tc>
        <w:tc>
          <w:tcPr>
            <w:tcW w:w="4677" w:type="dxa"/>
          </w:tcPr>
          <w:p w:rsidR="008B1AD0" w:rsidRPr="001B0750" w:rsidRDefault="008B1AD0" w:rsidP="009C0640">
            <w:pPr>
              <w:keepNext/>
              <w:spacing w:before="0" w:after="0"/>
              <w:jc w:val="left"/>
            </w:pPr>
            <w:r>
              <w:t>135,4 kW</w:t>
            </w:r>
          </w:p>
        </w:tc>
      </w:tr>
      <w:tr w:rsidR="008B1AD0" w:rsidTr="00492D91">
        <w:trPr>
          <w:trHeight w:val="397"/>
        </w:trPr>
        <w:tc>
          <w:tcPr>
            <w:tcW w:w="4503" w:type="dxa"/>
          </w:tcPr>
          <w:p w:rsidR="008B1AD0" w:rsidRPr="00376FB3" w:rsidRDefault="008B1AD0" w:rsidP="009C0640">
            <w:pPr>
              <w:keepNext/>
              <w:spacing w:before="0" w:after="0"/>
              <w:jc w:val="left"/>
              <w:rPr>
                <w:i/>
              </w:rPr>
            </w:pPr>
            <w:r w:rsidRPr="00376FB3">
              <w:rPr>
                <w:i/>
              </w:rPr>
              <w:t>EER</w:t>
            </w:r>
            <w:r w:rsidR="00492D91">
              <w:rPr>
                <w:i/>
              </w:rPr>
              <w:t xml:space="preserve"> (Energy Efficiency Ratio)</w:t>
            </w:r>
          </w:p>
        </w:tc>
        <w:tc>
          <w:tcPr>
            <w:tcW w:w="4677" w:type="dxa"/>
          </w:tcPr>
          <w:p w:rsidR="008B1AD0" w:rsidRPr="001B0750" w:rsidRDefault="008B1AD0" w:rsidP="008B1AD0">
            <w:pPr>
              <w:keepNext/>
              <w:spacing w:before="0" w:after="0"/>
              <w:jc w:val="left"/>
            </w:pPr>
            <w:r>
              <w:t>2,99</w:t>
            </w:r>
          </w:p>
        </w:tc>
      </w:tr>
      <w:tr w:rsidR="008B1AD0" w:rsidTr="00492D91">
        <w:trPr>
          <w:trHeight w:val="397"/>
        </w:trPr>
        <w:tc>
          <w:tcPr>
            <w:tcW w:w="4503" w:type="dxa"/>
          </w:tcPr>
          <w:p w:rsidR="008B1AD0" w:rsidRPr="00376FB3" w:rsidRDefault="008B1AD0" w:rsidP="009C0640">
            <w:pPr>
              <w:keepNext/>
              <w:spacing w:before="0" w:after="0"/>
              <w:jc w:val="left"/>
              <w:rPr>
                <w:i/>
              </w:rPr>
            </w:pPr>
            <w:r w:rsidRPr="00376FB3">
              <w:rPr>
                <w:i/>
              </w:rPr>
              <w:t>SEER</w:t>
            </w:r>
            <w:r w:rsidR="00492D91">
              <w:rPr>
                <w:i/>
              </w:rPr>
              <w:t xml:space="preserve"> (Seasonal Energy Efficiency Ratio)</w:t>
            </w:r>
          </w:p>
        </w:tc>
        <w:tc>
          <w:tcPr>
            <w:tcW w:w="4677" w:type="dxa"/>
          </w:tcPr>
          <w:p w:rsidR="008B1AD0" w:rsidRPr="001B0750" w:rsidRDefault="008B1AD0" w:rsidP="008B1AD0">
            <w:pPr>
              <w:keepNext/>
              <w:spacing w:before="0" w:after="0"/>
              <w:jc w:val="left"/>
            </w:pPr>
            <w:r>
              <w:t>4,25</w:t>
            </w:r>
          </w:p>
        </w:tc>
      </w:tr>
      <w:tr w:rsidR="008B1AD0" w:rsidTr="00492D91">
        <w:trPr>
          <w:trHeight w:val="397"/>
        </w:trPr>
        <w:tc>
          <w:tcPr>
            <w:tcW w:w="4503" w:type="dxa"/>
          </w:tcPr>
          <w:p w:rsidR="008B1AD0" w:rsidRPr="00376FB3" w:rsidRDefault="008B1AD0" w:rsidP="009C0640">
            <w:pPr>
              <w:keepNext/>
              <w:spacing w:before="0" w:after="0"/>
              <w:jc w:val="left"/>
              <w:rPr>
                <w:i/>
              </w:rPr>
            </w:pPr>
            <w:r w:rsidRPr="00376FB3">
              <w:rPr>
                <w:i/>
              </w:rPr>
              <w:t>Chladivo</w:t>
            </w:r>
          </w:p>
        </w:tc>
        <w:tc>
          <w:tcPr>
            <w:tcW w:w="4677" w:type="dxa"/>
          </w:tcPr>
          <w:p w:rsidR="008B1AD0" w:rsidRDefault="008B1AD0" w:rsidP="009C0640">
            <w:pPr>
              <w:keepNext/>
              <w:spacing w:before="0" w:after="0"/>
              <w:jc w:val="left"/>
            </w:pPr>
            <w:r>
              <w:t>R410a</w:t>
            </w:r>
          </w:p>
        </w:tc>
      </w:tr>
      <w:tr w:rsidR="008B1AD0" w:rsidTr="00492D91">
        <w:trPr>
          <w:trHeight w:val="397"/>
        </w:trPr>
        <w:tc>
          <w:tcPr>
            <w:tcW w:w="4503" w:type="dxa"/>
          </w:tcPr>
          <w:p w:rsidR="008B1AD0" w:rsidRPr="00376FB3" w:rsidRDefault="008B1AD0" w:rsidP="009C0640">
            <w:pPr>
              <w:keepNext/>
              <w:spacing w:before="0" w:after="0"/>
              <w:jc w:val="left"/>
              <w:rPr>
                <w:i/>
              </w:rPr>
            </w:pPr>
            <w:r w:rsidRPr="00376FB3">
              <w:rPr>
                <w:i/>
              </w:rPr>
              <w:t>Čistá hmotnost</w:t>
            </w:r>
          </w:p>
        </w:tc>
        <w:tc>
          <w:tcPr>
            <w:tcW w:w="4677" w:type="dxa"/>
          </w:tcPr>
          <w:p w:rsidR="008B1AD0" w:rsidRDefault="008B1AD0" w:rsidP="008B1AD0">
            <w:pPr>
              <w:keepNext/>
              <w:spacing w:before="0" w:after="0"/>
              <w:jc w:val="left"/>
            </w:pPr>
            <w:r w:rsidRPr="008B1AD0">
              <w:t>2</w:t>
            </w:r>
            <w:r w:rsidR="007843D5">
              <w:t> </w:t>
            </w:r>
            <w:r w:rsidRPr="008B1AD0">
              <w:t>930</w:t>
            </w:r>
            <w:r>
              <w:t xml:space="preserve"> kg</w:t>
            </w:r>
          </w:p>
        </w:tc>
      </w:tr>
      <w:tr w:rsidR="008B1AD0" w:rsidTr="00492D91">
        <w:trPr>
          <w:trHeight w:val="397"/>
        </w:trPr>
        <w:tc>
          <w:tcPr>
            <w:tcW w:w="4503" w:type="dxa"/>
          </w:tcPr>
          <w:p w:rsidR="008B1AD0" w:rsidRPr="00376FB3" w:rsidRDefault="008B1AD0" w:rsidP="001720C5">
            <w:pPr>
              <w:spacing w:before="0" w:after="0"/>
              <w:jc w:val="left"/>
              <w:rPr>
                <w:i/>
              </w:rPr>
            </w:pPr>
            <w:r w:rsidRPr="00376FB3">
              <w:rPr>
                <w:i/>
              </w:rPr>
              <w:t>Akustický výkon</w:t>
            </w:r>
          </w:p>
        </w:tc>
        <w:tc>
          <w:tcPr>
            <w:tcW w:w="4677" w:type="dxa"/>
          </w:tcPr>
          <w:p w:rsidR="008B1AD0" w:rsidRDefault="006E0C4E" w:rsidP="001720C5">
            <w:pPr>
              <w:spacing w:before="0" w:after="0"/>
              <w:jc w:val="left"/>
            </w:pPr>
            <w:r>
              <w:t>90</w:t>
            </w:r>
            <w:r w:rsidR="008B1AD0">
              <w:t xml:space="preserve"> dB(A)</w:t>
            </w:r>
          </w:p>
        </w:tc>
      </w:tr>
    </w:tbl>
    <w:p w:rsidR="00D52E18" w:rsidRDefault="00282ED3" w:rsidP="00D52E18">
      <w:pPr>
        <w:rPr>
          <w:b/>
        </w:rPr>
      </w:pPr>
      <w:r w:rsidRPr="0043530E">
        <w:rPr>
          <w:b/>
        </w:rPr>
        <w:t xml:space="preserve">Tato </w:t>
      </w:r>
      <w:r>
        <w:rPr>
          <w:b/>
        </w:rPr>
        <w:t>kompresorová chladicí jednotka byla zvolena tak, aby splňovala požadavek na množství chladicího výkonu v letním období (400 kW). Dále na základě toho, že ji lze umístit na střechu mezi dvě stávající kompresorové chladicí jednotky zdroje chladu 2.</w:t>
      </w:r>
    </w:p>
    <w:p w:rsidR="00282ED3" w:rsidRDefault="00282ED3" w:rsidP="00D52E18">
      <w:r>
        <w:t>Pořizovací cena kompresorové chladicí jednotky je vč. příslušenství (praporkový hlídač průtoku, originální antivibrační podložky, komunikační karty) přibližně 1,41 mil</w:t>
      </w:r>
      <w:r w:rsidR="000A11A7">
        <w:t>.</w:t>
      </w:r>
      <w:r>
        <w:t xml:space="preserve"> Kč. Zprovoznění a zaškolení obsluhy kupujícího činí přibližně 16 tis. Kč. </w:t>
      </w:r>
      <w:r w:rsidR="00F11D82">
        <w:t>Kromě investičního nákladu na zdroj chladu musí být brána v potaz také investice do strojovny chladu. To bude předmětem dalších podkapitol.</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F11D82" w:rsidTr="00973B98">
        <w:tc>
          <w:tcPr>
            <w:tcW w:w="9212" w:type="dxa"/>
          </w:tcPr>
          <w:p w:rsidR="00F11D82" w:rsidRDefault="00C4545C" w:rsidP="00C4545C">
            <w:pPr>
              <w:keepNext/>
              <w:jc w:val="center"/>
            </w:pPr>
            <w:r>
              <w:rPr>
                <w:noProof/>
                <w:lang w:eastAsia="cs-CZ"/>
              </w:rPr>
              <w:drawing>
                <wp:inline distT="0" distB="0" distL="0" distR="0" wp14:anchorId="23009982" wp14:editId="690DC918">
                  <wp:extent cx="2429214" cy="17909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ZDROJ_CHLADU_3.png"/>
                          <pic:cNvPicPr/>
                        </pic:nvPicPr>
                        <pic:blipFill>
                          <a:blip r:embed="rId49">
                            <a:extLst>
                              <a:ext uri="{28A0092B-C50C-407E-A947-70E740481C1C}">
                                <a14:useLocalDpi xmlns:a14="http://schemas.microsoft.com/office/drawing/2010/main" val="0"/>
                              </a:ext>
                            </a:extLst>
                          </a:blip>
                          <a:stretch>
                            <a:fillRect/>
                          </a:stretch>
                        </pic:blipFill>
                        <pic:spPr>
                          <a:xfrm>
                            <a:off x="0" y="0"/>
                            <a:ext cx="2429214" cy="1790950"/>
                          </a:xfrm>
                          <a:prstGeom prst="rect">
                            <a:avLst/>
                          </a:prstGeom>
                        </pic:spPr>
                      </pic:pic>
                    </a:graphicData>
                  </a:graphic>
                </wp:inline>
              </w:drawing>
            </w:r>
          </w:p>
        </w:tc>
      </w:tr>
      <w:tr w:rsidR="00F11D82" w:rsidTr="00973B98">
        <w:tc>
          <w:tcPr>
            <w:tcW w:w="9212" w:type="dxa"/>
          </w:tcPr>
          <w:p w:rsidR="00F11D82" w:rsidRPr="00C4545C" w:rsidRDefault="00C4545C" w:rsidP="00C4545C">
            <w:pPr>
              <w:pStyle w:val="Obrzek"/>
            </w:pPr>
            <w:bookmarkStart w:id="110" w:name="_Ref58843070"/>
            <w:r>
              <w:t xml:space="preserve">Obr. </w:t>
            </w:r>
            <w:fldSimple w:instr=" SEQ Obr. \* ARABIC ">
              <w:r w:rsidR="00816426">
                <w:rPr>
                  <w:noProof/>
                </w:rPr>
                <w:t>16</w:t>
              </w:r>
            </w:fldSimple>
            <w:bookmarkEnd w:id="110"/>
            <w:r>
              <w:t xml:space="preserve"> Navržená kompresorová chladicí jednotka </w:t>
            </w:r>
            <w:r w:rsidR="00375AD3">
              <w:t>Aermec NRB1400 A°</w:t>
            </w:r>
            <w:r w:rsidR="00375AD3">
              <w:rPr>
                <w:lang w:val="en-US"/>
              </w:rPr>
              <w:t xml:space="preserve">  </w:t>
            </w:r>
            <w:r>
              <w:rPr>
                <w:lang w:val="en-US"/>
              </w:rPr>
              <w:t>[9]</w:t>
            </w:r>
          </w:p>
        </w:tc>
      </w:tr>
    </w:tbl>
    <w:p w:rsidR="00370BDE" w:rsidRDefault="00370BDE" w:rsidP="00370BDE">
      <w:pPr>
        <w:pStyle w:val="Nadpis3"/>
      </w:pPr>
      <w:bookmarkStart w:id="111" w:name="_Toc58949376"/>
      <w:r>
        <w:t>Doprava a montáž kompresorové chladicí jednotky</w:t>
      </w:r>
      <w:bookmarkEnd w:id="111"/>
    </w:p>
    <w:p w:rsidR="006E0C4E" w:rsidRDefault="006E0C4E" w:rsidP="006E0C4E">
      <w:r>
        <w:t>Rozměry a hmotnostní údaje o chladicí jednotce jsou shrnuty v </w:t>
      </w:r>
      <w:r>
        <w:fldChar w:fldCharType="begin"/>
      </w:r>
      <w:r>
        <w:instrText xml:space="preserve"> REF _Ref56504602 \h </w:instrText>
      </w:r>
      <w:r>
        <w:fldChar w:fldCharType="separate"/>
      </w:r>
      <w:r w:rsidR="00816426">
        <w:t xml:space="preserve">Tab. </w:t>
      </w:r>
      <w:r w:rsidR="00816426">
        <w:rPr>
          <w:noProof/>
        </w:rPr>
        <w:t>19</w:t>
      </w:r>
      <w:r>
        <w:fldChar w:fldCharType="end"/>
      </w:r>
      <w:r w:rsidR="00320FC8">
        <w:t xml:space="preserve">, patrné z </w:t>
      </w:r>
      <w:r w:rsidR="000B01E7">
        <w:fldChar w:fldCharType="begin"/>
      </w:r>
      <w:r w:rsidR="000B01E7">
        <w:instrText xml:space="preserve"> REF _Ref56506255 \h </w:instrText>
      </w:r>
      <w:r w:rsidR="000B01E7">
        <w:fldChar w:fldCharType="separate"/>
      </w:r>
      <w:r w:rsidR="00816426">
        <w:t xml:space="preserve">Obr. </w:t>
      </w:r>
      <w:r w:rsidR="00816426">
        <w:rPr>
          <w:noProof/>
        </w:rPr>
        <w:t>17</w:t>
      </w:r>
      <w:r w:rsidR="000B01E7">
        <w:fldChar w:fldCharType="end"/>
      </w:r>
      <w:r>
        <w:t>. Jak již bylo zmíněno, pozice pro umístění navržené chladicí jednotky (zdroj chladu 3) je na střeše mezi dvěma jednotkami zdroje chladu 2.</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8E1FDD" w:rsidTr="00973B98">
        <w:tc>
          <w:tcPr>
            <w:tcW w:w="9212" w:type="dxa"/>
          </w:tcPr>
          <w:p w:rsidR="008E1FDD" w:rsidRDefault="000B01E7" w:rsidP="000B01E7">
            <w:pPr>
              <w:keepNext/>
              <w:jc w:val="center"/>
            </w:pPr>
            <w:r>
              <w:rPr>
                <w:noProof/>
                <w:lang w:eastAsia="cs-CZ"/>
              </w:rPr>
              <w:drawing>
                <wp:inline distT="0" distB="0" distL="0" distR="0" wp14:anchorId="50E898C0" wp14:editId="0638E155">
                  <wp:extent cx="3238360" cy="282892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ZDROJ_CHLADU_3_ROZMĚRY.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291083" cy="2874982"/>
                          </a:xfrm>
                          <a:prstGeom prst="rect">
                            <a:avLst/>
                          </a:prstGeom>
                        </pic:spPr>
                      </pic:pic>
                    </a:graphicData>
                  </a:graphic>
                </wp:inline>
              </w:drawing>
            </w:r>
          </w:p>
        </w:tc>
      </w:tr>
      <w:tr w:rsidR="008E1FDD" w:rsidTr="00973B98">
        <w:tc>
          <w:tcPr>
            <w:tcW w:w="9212" w:type="dxa"/>
          </w:tcPr>
          <w:p w:rsidR="008E1FDD" w:rsidRPr="000B01E7" w:rsidRDefault="000B01E7" w:rsidP="001720C5">
            <w:pPr>
              <w:pStyle w:val="Obrzek"/>
              <w:keepNext w:val="0"/>
            </w:pPr>
            <w:bookmarkStart w:id="112" w:name="_Ref56506255"/>
            <w:r>
              <w:t xml:space="preserve">Obr. </w:t>
            </w:r>
            <w:fldSimple w:instr=" SEQ Obr. \* ARABIC ">
              <w:r w:rsidR="00816426">
                <w:rPr>
                  <w:noProof/>
                </w:rPr>
                <w:t>17</w:t>
              </w:r>
            </w:fldSimple>
            <w:bookmarkEnd w:id="112"/>
            <w:r>
              <w:t xml:space="preserve"> Rozměry blokové kompresorové chladicí jednotky </w:t>
            </w:r>
            <w:r>
              <w:rPr>
                <w:lang w:val="en-US"/>
              </w:rPr>
              <w:t>[9]</w:t>
            </w:r>
          </w:p>
        </w:tc>
      </w:tr>
    </w:tbl>
    <w:p w:rsidR="008E1FDD" w:rsidRPr="00320FC8" w:rsidRDefault="008E1FDD" w:rsidP="008E1FDD">
      <w:pPr>
        <w:pStyle w:val="Tabulka"/>
      </w:pPr>
      <w:bookmarkStart w:id="113" w:name="_Ref56504602"/>
      <w:r>
        <w:t xml:space="preserve">Tab. </w:t>
      </w:r>
      <w:fldSimple w:instr=" SEQ Tab. \* ARABIC ">
        <w:r w:rsidR="00816426">
          <w:rPr>
            <w:noProof/>
          </w:rPr>
          <w:t>19</w:t>
        </w:r>
      </w:fldSimple>
      <w:bookmarkEnd w:id="113"/>
      <w:r>
        <w:t xml:space="preserve"> Rozměry a hmotnost kompresorové chladicí jednotky </w:t>
      </w:r>
      <w:r>
        <w:rPr>
          <w:lang w:val="en-US"/>
        </w:rPr>
        <w:t>[9]</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1275"/>
        <w:gridCol w:w="1809"/>
      </w:tblGrid>
      <w:tr w:rsidR="008E1FDD" w:rsidTr="009C0640">
        <w:trPr>
          <w:trHeight w:val="397"/>
        </w:trPr>
        <w:tc>
          <w:tcPr>
            <w:tcW w:w="6204" w:type="dxa"/>
            <w:tcBorders>
              <w:bottom w:val="single" w:sz="4" w:space="0" w:color="auto"/>
            </w:tcBorders>
            <w:vAlign w:val="center"/>
          </w:tcPr>
          <w:p w:rsidR="008E1FDD" w:rsidRDefault="008E1FDD" w:rsidP="009C0640">
            <w:pPr>
              <w:keepNext/>
              <w:spacing w:before="0" w:after="0"/>
              <w:jc w:val="left"/>
            </w:pPr>
            <w:r>
              <w:t>Rozměry kogeneračního modulu</w:t>
            </w:r>
          </w:p>
        </w:tc>
        <w:tc>
          <w:tcPr>
            <w:tcW w:w="1275" w:type="dxa"/>
            <w:tcBorders>
              <w:bottom w:val="single" w:sz="4" w:space="0" w:color="auto"/>
            </w:tcBorders>
            <w:vAlign w:val="center"/>
          </w:tcPr>
          <w:p w:rsidR="008E1FDD" w:rsidRDefault="008E1FDD" w:rsidP="009C0640">
            <w:pPr>
              <w:keepNext/>
              <w:spacing w:before="0" w:after="0"/>
              <w:jc w:val="center"/>
            </w:pPr>
          </w:p>
        </w:tc>
        <w:tc>
          <w:tcPr>
            <w:tcW w:w="1809" w:type="dxa"/>
            <w:tcBorders>
              <w:bottom w:val="single" w:sz="4" w:space="0" w:color="auto"/>
            </w:tcBorders>
            <w:vAlign w:val="center"/>
          </w:tcPr>
          <w:p w:rsidR="008E1FDD" w:rsidRDefault="008E1FDD" w:rsidP="009C0640">
            <w:pPr>
              <w:keepNext/>
              <w:spacing w:before="0" w:after="0"/>
              <w:jc w:val="center"/>
            </w:pPr>
            <w:r>
              <w:t>Rozměr</w:t>
            </w:r>
          </w:p>
        </w:tc>
      </w:tr>
      <w:tr w:rsidR="008E1FDD" w:rsidTr="009C0640">
        <w:trPr>
          <w:trHeight w:val="397"/>
        </w:trPr>
        <w:tc>
          <w:tcPr>
            <w:tcW w:w="6204" w:type="dxa"/>
            <w:tcBorders>
              <w:top w:val="single" w:sz="4" w:space="0" w:color="auto"/>
              <w:bottom w:val="nil"/>
            </w:tcBorders>
            <w:vAlign w:val="center"/>
          </w:tcPr>
          <w:p w:rsidR="008E1FDD" w:rsidRDefault="008E1FDD" w:rsidP="009C0640">
            <w:pPr>
              <w:keepNext/>
              <w:spacing w:before="0" w:after="0"/>
              <w:jc w:val="left"/>
            </w:pPr>
            <w:r>
              <w:t>Délka (C)</w:t>
            </w:r>
          </w:p>
        </w:tc>
        <w:tc>
          <w:tcPr>
            <w:tcW w:w="1275" w:type="dxa"/>
            <w:tcBorders>
              <w:top w:val="single" w:sz="4" w:space="0" w:color="auto"/>
              <w:bottom w:val="nil"/>
            </w:tcBorders>
            <w:vAlign w:val="center"/>
          </w:tcPr>
          <w:p w:rsidR="008E1FDD" w:rsidRPr="007A58B6" w:rsidRDefault="008E1FDD" w:rsidP="009C0640">
            <w:pPr>
              <w:keepNext/>
              <w:spacing w:before="0" w:after="0"/>
              <w:jc w:val="center"/>
            </w:pPr>
            <w:r>
              <w:rPr>
                <w:lang w:val="en-US"/>
              </w:rPr>
              <w:t>[mm]</w:t>
            </w:r>
          </w:p>
        </w:tc>
        <w:tc>
          <w:tcPr>
            <w:tcW w:w="1809" w:type="dxa"/>
            <w:tcBorders>
              <w:top w:val="single" w:sz="4" w:space="0" w:color="auto"/>
              <w:bottom w:val="nil"/>
            </w:tcBorders>
            <w:vAlign w:val="center"/>
          </w:tcPr>
          <w:p w:rsidR="008E1FDD" w:rsidRDefault="008E1FDD" w:rsidP="009C0640">
            <w:pPr>
              <w:keepNext/>
              <w:spacing w:before="0" w:after="0"/>
              <w:jc w:val="right"/>
            </w:pPr>
            <w:r>
              <w:t>2</w:t>
            </w:r>
            <w:r w:rsidR="007843D5">
              <w:t> </w:t>
            </w:r>
            <w:r>
              <w:t>450</w:t>
            </w:r>
          </w:p>
        </w:tc>
      </w:tr>
      <w:tr w:rsidR="008E1FDD" w:rsidTr="009C0640">
        <w:trPr>
          <w:trHeight w:val="397"/>
        </w:trPr>
        <w:tc>
          <w:tcPr>
            <w:tcW w:w="6204" w:type="dxa"/>
            <w:tcBorders>
              <w:top w:val="nil"/>
              <w:bottom w:val="nil"/>
            </w:tcBorders>
            <w:vAlign w:val="center"/>
          </w:tcPr>
          <w:p w:rsidR="008E1FDD" w:rsidRDefault="008E1FDD" w:rsidP="009C0640">
            <w:pPr>
              <w:keepNext/>
              <w:spacing w:before="0" w:after="0"/>
              <w:jc w:val="left"/>
            </w:pPr>
            <w:r>
              <w:t>Šířka (B)</w:t>
            </w:r>
          </w:p>
        </w:tc>
        <w:tc>
          <w:tcPr>
            <w:tcW w:w="1275" w:type="dxa"/>
            <w:tcBorders>
              <w:top w:val="nil"/>
              <w:bottom w:val="nil"/>
            </w:tcBorders>
            <w:vAlign w:val="center"/>
          </w:tcPr>
          <w:p w:rsidR="008E1FDD" w:rsidRPr="007A58B6" w:rsidRDefault="008E1FDD" w:rsidP="009C0640">
            <w:pPr>
              <w:keepNext/>
              <w:spacing w:before="0" w:after="0"/>
              <w:jc w:val="center"/>
            </w:pPr>
            <w:r>
              <w:rPr>
                <w:lang w:val="en-US"/>
              </w:rPr>
              <w:t>[mm]</w:t>
            </w:r>
          </w:p>
        </w:tc>
        <w:tc>
          <w:tcPr>
            <w:tcW w:w="1809" w:type="dxa"/>
            <w:tcBorders>
              <w:top w:val="nil"/>
              <w:bottom w:val="nil"/>
            </w:tcBorders>
            <w:vAlign w:val="center"/>
          </w:tcPr>
          <w:p w:rsidR="008E1FDD" w:rsidRDefault="008E1FDD" w:rsidP="009C0640">
            <w:pPr>
              <w:keepNext/>
              <w:spacing w:before="0" w:after="0"/>
              <w:jc w:val="right"/>
            </w:pPr>
            <w:r>
              <w:t>2</w:t>
            </w:r>
            <w:r w:rsidR="007843D5">
              <w:t> </w:t>
            </w:r>
            <w:r>
              <w:t>200</w:t>
            </w:r>
          </w:p>
        </w:tc>
      </w:tr>
      <w:tr w:rsidR="008E1FDD" w:rsidTr="009C0640">
        <w:trPr>
          <w:trHeight w:val="397"/>
        </w:trPr>
        <w:tc>
          <w:tcPr>
            <w:tcW w:w="6204" w:type="dxa"/>
            <w:tcBorders>
              <w:top w:val="nil"/>
              <w:bottom w:val="nil"/>
            </w:tcBorders>
            <w:vAlign w:val="center"/>
          </w:tcPr>
          <w:p w:rsidR="008E1FDD" w:rsidRDefault="008E1FDD" w:rsidP="009C0640">
            <w:pPr>
              <w:keepNext/>
              <w:spacing w:before="0" w:after="0"/>
              <w:jc w:val="left"/>
            </w:pPr>
            <w:r>
              <w:t>Výška (A)</w:t>
            </w:r>
          </w:p>
        </w:tc>
        <w:tc>
          <w:tcPr>
            <w:tcW w:w="1275" w:type="dxa"/>
            <w:tcBorders>
              <w:top w:val="nil"/>
              <w:bottom w:val="nil"/>
            </w:tcBorders>
            <w:vAlign w:val="center"/>
          </w:tcPr>
          <w:p w:rsidR="008E1FDD" w:rsidRPr="007A58B6" w:rsidRDefault="008E1FDD" w:rsidP="009C0640">
            <w:pPr>
              <w:keepNext/>
              <w:spacing w:before="0" w:after="0"/>
              <w:jc w:val="center"/>
            </w:pPr>
            <w:r>
              <w:rPr>
                <w:lang w:val="en-US"/>
              </w:rPr>
              <w:t>[mm]</w:t>
            </w:r>
          </w:p>
        </w:tc>
        <w:tc>
          <w:tcPr>
            <w:tcW w:w="1809" w:type="dxa"/>
            <w:tcBorders>
              <w:top w:val="nil"/>
              <w:bottom w:val="nil"/>
            </w:tcBorders>
            <w:vAlign w:val="center"/>
          </w:tcPr>
          <w:p w:rsidR="008E1FDD" w:rsidRDefault="008E1FDD" w:rsidP="009C0640">
            <w:pPr>
              <w:keepNext/>
              <w:spacing w:before="0" w:after="0"/>
              <w:jc w:val="right"/>
            </w:pPr>
            <w:r>
              <w:t>2</w:t>
            </w:r>
            <w:r w:rsidR="007843D5">
              <w:t> </w:t>
            </w:r>
            <w:r>
              <w:t>450</w:t>
            </w:r>
          </w:p>
        </w:tc>
      </w:tr>
      <w:tr w:rsidR="008E1FDD" w:rsidTr="009C0640">
        <w:trPr>
          <w:trHeight w:val="397"/>
        </w:trPr>
        <w:tc>
          <w:tcPr>
            <w:tcW w:w="6204" w:type="dxa"/>
            <w:tcBorders>
              <w:top w:val="nil"/>
              <w:bottom w:val="single" w:sz="4" w:space="0" w:color="auto"/>
            </w:tcBorders>
            <w:vAlign w:val="center"/>
          </w:tcPr>
          <w:p w:rsidR="008E1FDD" w:rsidRDefault="008E1FDD" w:rsidP="009C0640">
            <w:pPr>
              <w:keepNext/>
              <w:spacing w:before="0" w:after="0"/>
              <w:jc w:val="left"/>
            </w:pPr>
            <w:r>
              <w:t>Hmotnost kogeneračního modulu</w:t>
            </w:r>
          </w:p>
        </w:tc>
        <w:tc>
          <w:tcPr>
            <w:tcW w:w="1275" w:type="dxa"/>
            <w:tcBorders>
              <w:top w:val="nil"/>
              <w:bottom w:val="single" w:sz="4" w:space="0" w:color="auto"/>
            </w:tcBorders>
            <w:vAlign w:val="center"/>
          </w:tcPr>
          <w:p w:rsidR="008E1FDD" w:rsidRDefault="008E1FDD" w:rsidP="009C0640">
            <w:pPr>
              <w:keepNext/>
              <w:spacing w:before="0" w:after="0"/>
              <w:jc w:val="center"/>
            </w:pPr>
          </w:p>
        </w:tc>
        <w:tc>
          <w:tcPr>
            <w:tcW w:w="1809" w:type="dxa"/>
            <w:tcBorders>
              <w:top w:val="nil"/>
              <w:bottom w:val="single" w:sz="4" w:space="0" w:color="auto"/>
            </w:tcBorders>
            <w:vAlign w:val="center"/>
          </w:tcPr>
          <w:p w:rsidR="008E1FDD" w:rsidRDefault="008E1FDD" w:rsidP="009C0640">
            <w:pPr>
              <w:keepNext/>
              <w:spacing w:before="0" w:after="0"/>
              <w:jc w:val="center"/>
            </w:pPr>
            <w:r>
              <w:t>Hmotnost</w:t>
            </w:r>
          </w:p>
        </w:tc>
      </w:tr>
      <w:tr w:rsidR="008E1FDD" w:rsidTr="009C0640">
        <w:trPr>
          <w:trHeight w:val="397"/>
        </w:trPr>
        <w:tc>
          <w:tcPr>
            <w:tcW w:w="6204" w:type="dxa"/>
            <w:tcBorders>
              <w:top w:val="single" w:sz="4" w:space="0" w:color="auto"/>
            </w:tcBorders>
            <w:vAlign w:val="center"/>
          </w:tcPr>
          <w:p w:rsidR="008E1FDD" w:rsidRDefault="008E1FDD" w:rsidP="009C0640">
            <w:pPr>
              <w:keepNext/>
              <w:spacing w:before="0" w:after="0"/>
              <w:jc w:val="left"/>
            </w:pPr>
            <w:r>
              <w:t>Prázdná hmotnost</w:t>
            </w:r>
          </w:p>
        </w:tc>
        <w:tc>
          <w:tcPr>
            <w:tcW w:w="1275" w:type="dxa"/>
            <w:tcBorders>
              <w:top w:val="single" w:sz="4" w:space="0" w:color="auto"/>
            </w:tcBorders>
            <w:vAlign w:val="center"/>
          </w:tcPr>
          <w:p w:rsidR="008E1FDD" w:rsidRPr="007A58B6" w:rsidRDefault="008E1FDD" w:rsidP="009C0640">
            <w:pPr>
              <w:keepNext/>
              <w:spacing w:before="0" w:after="0"/>
              <w:jc w:val="center"/>
              <w:rPr>
                <w:lang w:val="en-US"/>
              </w:rPr>
            </w:pPr>
            <w:r>
              <w:rPr>
                <w:lang w:val="en-US"/>
              </w:rPr>
              <w:t>[kg]</w:t>
            </w:r>
          </w:p>
        </w:tc>
        <w:tc>
          <w:tcPr>
            <w:tcW w:w="1809" w:type="dxa"/>
            <w:tcBorders>
              <w:top w:val="single" w:sz="4" w:space="0" w:color="auto"/>
            </w:tcBorders>
            <w:vAlign w:val="center"/>
          </w:tcPr>
          <w:p w:rsidR="008E1FDD" w:rsidRDefault="008E1FDD" w:rsidP="009C0640">
            <w:pPr>
              <w:keepNext/>
              <w:spacing w:before="0" w:after="0"/>
              <w:jc w:val="right"/>
            </w:pPr>
            <w:r>
              <w:t>2</w:t>
            </w:r>
            <w:r w:rsidR="007843D5">
              <w:t> </w:t>
            </w:r>
            <w:r>
              <w:t>930</w:t>
            </w:r>
          </w:p>
        </w:tc>
      </w:tr>
    </w:tbl>
    <w:p w:rsidR="006E0C4E" w:rsidRDefault="00C92FCF" w:rsidP="006E0C4E">
      <w:r>
        <w:t xml:space="preserve">Způsoby nastěhování jednotky na střechu ČNB byly konzultovány se zástupcem společnosti, která řeší podobné logistické zakázky v Praze. Bylo doporučeno stěhování jednotky jeřábem ze strany ulice Na Příkopě. Zábor území při stěhování je uvažovaný od ulice Nekázanka po Českou národní banku. Bylo upozorněno na to, že vyřízení záboru v tomto místě bude trvat 2–3 měsíce. </w:t>
      </w:r>
      <w:r w:rsidR="006D1F2D">
        <w:t xml:space="preserve">Zábor území, vzdálenosti jeřábu od budoucí pozice jsou patrné výkresové přílohy </w:t>
      </w:r>
      <w:r w:rsidR="00320FC8">
        <w:t xml:space="preserve">– </w:t>
      </w:r>
      <w:r w:rsidR="00320FC8">
        <w:fldChar w:fldCharType="begin"/>
      </w:r>
      <w:r w:rsidR="00320FC8">
        <w:instrText xml:space="preserve"> REF _Ref56505502 \h </w:instrText>
      </w:r>
      <w:r w:rsidR="00320FC8">
        <w:fldChar w:fldCharType="separate"/>
      </w:r>
      <w:r w:rsidR="00816426" w:rsidRPr="002410EE">
        <w:t xml:space="preserve">Příloha č. </w:t>
      </w:r>
      <w:r w:rsidR="00816426">
        <w:rPr>
          <w:noProof/>
        </w:rPr>
        <w:t>18</w:t>
      </w:r>
      <w:r w:rsidR="00320FC8">
        <w:fldChar w:fldCharType="end"/>
      </w:r>
      <w:r w:rsidR="006D1F2D">
        <w:t xml:space="preserve">. </w:t>
      </w:r>
      <w:r>
        <w:t>Náklady na toto stěhování byly odhadnuty na 400 tis. Kč</w:t>
      </w:r>
      <w:r w:rsidR="002573DC">
        <w:t xml:space="preserve"> bez DPH</w:t>
      </w:r>
      <w:r>
        <w:t>.</w:t>
      </w:r>
    </w:p>
    <w:p w:rsidR="00C92FCF" w:rsidRPr="006E0C4E" w:rsidRDefault="00C92FCF" w:rsidP="006E0C4E">
      <w:r>
        <w:t>Další náklady související s transportem jednotky od výrobce k České národní bance činí 22,8 tis. Kč</w:t>
      </w:r>
      <w:r w:rsidR="002573DC">
        <w:t xml:space="preserve"> bez DPH</w:t>
      </w:r>
      <w:r>
        <w:t xml:space="preserve">. </w:t>
      </w:r>
    </w:p>
    <w:p w:rsidR="00370BDE" w:rsidRDefault="00370BDE" w:rsidP="00370BDE">
      <w:pPr>
        <w:pStyle w:val="Nadpis3"/>
      </w:pPr>
      <w:bookmarkStart w:id="114" w:name="_Toc58949377"/>
      <w:r>
        <w:t>Režim provozu kompresorového chlazení</w:t>
      </w:r>
      <w:bookmarkEnd w:id="114"/>
    </w:p>
    <w:p w:rsidR="000B01E7" w:rsidRDefault="00492D91" w:rsidP="000B01E7">
      <w:r>
        <w:t xml:space="preserve">Zdroj chladu 3 bude provozován pouze v letním období stejně jako stávající zdroj chladu 1. Ten bývá v současnosti v přechodném období využíván i pro distribuci chladu do soustavy zdroje chladu 2, přesto však spotřeba elektrické energie zdroje chladu 1 bude využita pro modelování provozu zdroje chladu 3. </w:t>
      </w:r>
    </w:p>
    <w:p w:rsidR="00492D91" w:rsidRPr="000B01E7" w:rsidRDefault="00492D91" w:rsidP="000B01E7">
      <w:r>
        <w:t xml:space="preserve">Poměry sezónní energetické účinnosti (SEER, Seasonal Energy Efficiency Ratio) zdroje chladu 1 a 3 jsou velmi podobné – 4,28, resp. 4,25. Celková naměřená </w:t>
      </w:r>
      <w:r w:rsidR="001D703A">
        <w:t>spotřeba elektrické energie zdroje chladu 1 v roce 2019 činila 423 MWh. Přímou úměrou (dle chladicích výkonů) je tedy vypočítáno, že roční spotřeba elektrické energie zdroje chladu 3 bude přibližně 112,8 MWh. To při započítání SEER (4,25) odpovídá 479,4 MWh vyrobeného chladu a přibližně 1</w:t>
      </w:r>
      <w:r w:rsidR="007843D5">
        <w:t> </w:t>
      </w:r>
      <w:r w:rsidR="001D703A">
        <w:t>184 h (49,3 dní) provozu při jmenovitém výkonu.</w:t>
      </w:r>
    </w:p>
    <w:p w:rsidR="00370BDE" w:rsidRDefault="00370BDE" w:rsidP="00370BDE">
      <w:pPr>
        <w:pStyle w:val="Nadpis3"/>
      </w:pPr>
      <w:bookmarkStart w:id="115" w:name="_Toc58949378"/>
      <w:r>
        <w:t>Provozní náklady kompresorového chlazení</w:t>
      </w:r>
      <w:bookmarkEnd w:id="115"/>
    </w:p>
    <w:p w:rsidR="001D703A" w:rsidRDefault="001D703A" w:rsidP="001D703A">
      <w:r>
        <w:t>Provozní náklady kompresorového chlazení záleží především na sjednané ceně elektrické energie. Ta se rok od roku může na základě smlouvy podepsané mezi provozovatelem a distributorem elektrické energie měnit.</w:t>
      </w:r>
      <w:r w:rsidR="00825FD3">
        <w:t xml:space="preserve"> Dalším provozním nákladem je možné malé navýšení rezervované kapacity elektrické energie z toho </w:t>
      </w:r>
      <w:r w:rsidR="00AD4502">
        <w:t>důvodu, že v letním období, kdy je odběr elektrické energie nejvyšší, přibude odběr elektrické energie kompresorové chladicí jednotky (až 135,4 kW). Kogenerační jednotka může být v létě ve variantě B využita pouze ke krytí maximálních špiček odběru elektrické energie, jelikož v létě není dostatečný odběr tepla.</w:t>
      </w:r>
    </w:p>
    <w:p w:rsidR="00AD4502" w:rsidRDefault="00AD4502" w:rsidP="001D703A">
      <w:r>
        <w:t xml:space="preserve">K provozním výdajům patří také servis a revize kompresorové chladicí jednotky (prováděný 1× ročně). Hlavní provozní náklady jsou zobrazeny v </w:t>
      </w:r>
      <w:r w:rsidR="009068A5">
        <w:fldChar w:fldCharType="begin"/>
      </w:r>
      <w:r w:rsidR="009068A5">
        <w:instrText xml:space="preserve"> REF _Ref56509552 \h </w:instrText>
      </w:r>
      <w:r w:rsidR="009068A5">
        <w:fldChar w:fldCharType="separate"/>
      </w:r>
      <w:r w:rsidR="00816426">
        <w:t xml:space="preserve">Tab. </w:t>
      </w:r>
      <w:r w:rsidR="00816426">
        <w:rPr>
          <w:noProof/>
        </w:rPr>
        <w:t>20</w:t>
      </w:r>
      <w:r w:rsidR="009068A5">
        <w:fldChar w:fldCharType="end"/>
      </w:r>
      <w:r>
        <w:t>.</w:t>
      </w:r>
    </w:p>
    <w:p w:rsidR="009068A5" w:rsidRDefault="009068A5" w:rsidP="001720C5">
      <w:pPr>
        <w:pStyle w:val="Tabulka"/>
      </w:pPr>
      <w:bookmarkStart w:id="116" w:name="_Ref56509552"/>
      <w:r>
        <w:t xml:space="preserve">Tab. </w:t>
      </w:r>
      <w:fldSimple w:instr=" SEQ Tab. \* ARABIC ">
        <w:r w:rsidR="00816426">
          <w:rPr>
            <w:noProof/>
          </w:rPr>
          <w:t>20</w:t>
        </w:r>
      </w:fldSimple>
      <w:bookmarkEnd w:id="116"/>
      <w:r>
        <w:t xml:space="preserve"> Provozní náklady související s chladicí jednotkou – varianta B</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1417"/>
        <w:gridCol w:w="2158"/>
      </w:tblGrid>
      <w:tr w:rsidR="009068A5" w:rsidTr="009068A5">
        <w:trPr>
          <w:trHeight w:val="397"/>
        </w:trPr>
        <w:tc>
          <w:tcPr>
            <w:tcW w:w="5637" w:type="dxa"/>
            <w:tcBorders>
              <w:bottom w:val="single" w:sz="4" w:space="0" w:color="auto"/>
            </w:tcBorders>
            <w:vAlign w:val="center"/>
          </w:tcPr>
          <w:p w:rsidR="009068A5" w:rsidRDefault="009068A5" w:rsidP="001720C5">
            <w:pPr>
              <w:keepNext/>
              <w:spacing w:before="0" w:after="0"/>
              <w:jc w:val="left"/>
            </w:pPr>
            <w:r>
              <w:t>Druh provozního nákladu</w:t>
            </w:r>
          </w:p>
        </w:tc>
        <w:tc>
          <w:tcPr>
            <w:tcW w:w="1417" w:type="dxa"/>
            <w:tcBorders>
              <w:bottom w:val="single" w:sz="4" w:space="0" w:color="auto"/>
            </w:tcBorders>
            <w:vAlign w:val="center"/>
          </w:tcPr>
          <w:p w:rsidR="009068A5" w:rsidRDefault="009068A5" w:rsidP="001720C5">
            <w:pPr>
              <w:keepNext/>
              <w:spacing w:before="0" w:after="0"/>
              <w:jc w:val="left"/>
            </w:pPr>
            <w:r>
              <w:t>Četnost</w:t>
            </w:r>
          </w:p>
        </w:tc>
        <w:tc>
          <w:tcPr>
            <w:tcW w:w="2158" w:type="dxa"/>
            <w:tcBorders>
              <w:bottom w:val="single" w:sz="4" w:space="0" w:color="auto"/>
            </w:tcBorders>
            <w:vAlign w:val="center"/>
          </w:tcPr>
          <w:p w:rsidR="009068A5" w:rsidRDefault="009068A5" w:rsidP="001720C5">
            <w:pPr>
              <w:keepNext/>
              <w:spacing w:before="0" w:after="0"/>
              <w:jc w:val="left"/>
            </w:pPr>
            <w:r>
              <w:t>Cena (bez DPH)</w:t>
            </w:r>
          </w:p>
        </w:tc>
      </w:tr>
      <w:tr w:rsidR="009068A5" w:rsidTr="009068A5">
        <w:trPr>
          <w:trHeight w:val="397"/>
        </w:trPr>
        <w:tc>
          <w:tcPr>
            <w:tcW w:w="5637" w:type="dxa"/>
            <w:tcBorders>
              <w:top w:val="single" w:sz="4" w:space="0" w:color="auto"/>
              <w:bottom w:val="nil"/>
            </w:tcBorders>
            <w:vAlign w:val="center"/>
          </w:tcPr>
          <w:p w:rsidR="009068A5" w:rsidRDefault="009068A5" w:rsidP="001720C5">
            <w:pPr>
              <w:keepNext/>
              <w:spacing w:before="0" w:after="0"/>
              <w:jc w:val="left"/>
            </w:pPr>
            <w:r>
              <w:t>Dodávka elektřiny pro provoz chlazení</w:t>
            </w:r>
          </w:p>
        </w:tc>
        <w:tc>
          <w:tcPr>
            <w:tcW w:w="1417" w:type="dxa"/>
            <w:tcBorders>
              <w:top w:val="single" w:sz="4" w:space="0" w:color="auto"/>
              <w:bottom w:val="nil"/>
            </w:tcBorders>
            <w:vAlign w:val="center"/>
          </w:tcPr>
          <w:p w:rsidR="009068A5" w:rsidRDefault="009068A5" w:rsidP="001720C5">
            <w:pPr>
              <w:keepNext/>
              <w:spacing w:before="0" w:after="0"/>
              <w:jc w:val="left"/>
            </w:pPr>
            <w:r>
              <w:t>ročně</w:t>
            </w:r>
          </w:p>
        </w:tc>
        <w:tc>
          <w:tcPr>
            <w:tcW w:w="2158" w:type="dxa"/>
            <w:tcBorders>
              <w:top w:val="single" w:sz="4" w:space="0" w:color="auto"/>
              <w:bottom w:val="nil"/>
            </w:tcBorders>
            <w:vAlign w:val="center"/>
          </w:tcPr>
          <w:p w:rsidR="009068A5" w:rsidRPr="009068A5" w:rsidRDefault="009068A5" w:rsidP="001720C5">
            <w:pPr>
              <w:keepNext/>
              <w:spacing w:before="0" w:after="0"/>
              <w:jc w:val="left"/>
            </w:pPr>
            <w:r w:rsidRPr="009068A5">
              <w:t>276 tis. Kč</w:t>
            </w:r>
          </w:p>
        </w:tc>
      </w:tr>
      <w:tr w:rsidR="009068A5" w:rsidTr="009068A5">
        <w:trPr>
          <w:trHeight w:val="397"/>
        </w:trPr>
        <w:tc>
          <w:tcPr>
            <w:tcW w:w="5637" w:type="dxa"/>
            <w:tcBorders>
              <w:top w:val="nil"/>
              <w:bottom w:val="nil"/>
            </w:tcBorders>
            <w:vAlign w:val="center"/>
          </w:tcPr>
          <w:p w:rsidR="009068A5" w:rsidRDefault="009068A5" w:rsidP="001720C5">
            <w:pPr>
              <w:keepNext/>
              <w:spacing w:before="0" w:after="0"/>
              <w:jc w:val="left"/>
            </w:pPr>
            <w:r>
              <w:t>Odhadovaný příplatek za max. rezervovanou kapacitu el. energie</w:t>
            </w:r>
          </w:p>
        </w:tc>
        <w:tc>
          <w:tcPr>
            <w:tcW w:w="1417" w:type="dxa"/>
            <w:tcBorders>
              <w:top w:val="nil"/>
              <w:bottom w:val="nil"/>
            </w:tcBorders>
            <w:vAlign w:val="center"/>
          </w:tcPr>
          <w:p w:rsidR="009068A5" w:rsidRDefault="009068A5" w:rsidP="001720C5">
            <w:pPr>
              <w:keepNext/>
              <w:spacing w:before="0" w:after="0"/>
              <w:jc w:val="left"/>
            </w:pPr>
            <w:r>
              <w:t>ročně</w:t>
            </w:r>
          </w:p>
        </w:tc>
        <w:tc>
          <w:tcPr>
            <w:tcW w:w="2158" w:type="dxa"/>
            <w:tcBorders>
              <w:top w:val="nil"/>
              <w:bottom w:val="nil"/>
            </w:tcBorders>
            <w:vAlign w:val="center"/>
          </w:tcPr>
          <w:p w:rsidR="009068A5" w:rsidRDefault="009068A5" w:rsidP="001720C5">
            <w:pPr>
              <w:keepNext/>
              <w:spacing w:before="0" w:after="0"/>
              <w:jc w:val="left"/>
            </w:pPr>
            <w:r>
              <w:t>309 tis. Kč</w:t>
            </w:r>
          </w:p>
        </w:tc>
      </w:tr>
      <w:tr w:rsidR="009068A5" w:rsidTr="00EA7A83">
        <w:trPr>
          <w:trHeight w:val="397"/>
        </w:trPr>
        <w:tc>
          <w:tcPr>
            <w:tcW w:w="5637" w:type="dxa"/>
            <w:tcBorders>
              <w:top w:val="nil"/>
              <w:bottom w:val="single" w:sz="4" w:space="0" w:color="auto"/>
            </w:tcBorders>
            <w:vAlign w:val="center"/>
          </w:tcPr>
          <w:p w:rsidR="009068A5" w:rsidRDefault="009068A5" w:rsidP="009C0640">
            <w:pPr>
              <w:spacing w:before="0" w:after="0"/>
              <w:jc w:val="left"/>
            </w:pPr>
            <w:r>
              <w:t>Servis, revize chlazení</w:t>
            </w:r>
          </w:p>
        </w:tc>
        <w:tc>
          <w:tcPr>
            <w:tcW w:w="1417" w:type="dxa"/>
            <w:tcBorders>
              <w:top w:val="nil"/>
              <w:bottom w:val="single" w:sz="4" w:space="0" w:color="auto"/>
            </w:tcBorders>
            <w:vAlign w:val="center"/>
          </w:tcPr>
          <w:p w:rsidR="009068A5" w:rsidRDefault="009068A5" w:rsidP="009C0640">
            <w:pPr>
              <w:spacing w:before="0" w:after="0"/>
              <w:jc w:val="left"/>
            </w:pPr>
            <w:r>
              <w:t>ročně</w:t>
            </w:r>
          </w:p>
        </w:tc>
        <w:tc>
          <w:tcPr>
            <w:tcW w:w="2158" w:type="dxa"/>
            <w:tcBorders>
              <w:top w:val="nil"/>
              <w:bottom w:val="single" w:sz="4" w:space="0" w:color="auto"/>
            </w:tcBorders>
            <w:vAlign w:val="center"/>
          </w:tcPr>
          <w:p w:rsidR="009068A5" w:rsidRPr="00AA0C2A" w:rsidRDefault="009068A5" w:rsidP="009C0640">
            <w:pPr>
              <w:spacing w:before="0" w:after="0"/>
              <w:jc w:val="left"/>
            </w:pPr>
            <w:r>
              <w:t>22,1 tis. Kč</w:t>
            </w:r>
          </w:p>
        </w:tc>
      </w:tr>
      <w:tr w:rsidR="00EA7A83" w:rsidTr="00EA7A83">
        <w:trPr>
          <w:trHeight w:val="397"/>
        </w:trPr>
        <w:tc>
          <w:tcPr>
            <w:tcW w:w="5637" w:type="dxa"/>
            <w:tcBorders>
              <w:top w:val="single" w:sz="4" w:space="0" w:color="auto"/>
              <w:bottom w:val="single" w:sz="12" w:space="0" w:color="auto"/>
            </w:tcBorders>
            <w:vAlign w:val="center"/>
          </w:tcPr>
          <w:p w:rsidR="00EA7A83" w:rsidRDefault="00EA7A83" w:rsidP="009C0640">
            <w:pPr>
              <w:spacing w:before="0" w:after="0"/>
              <w:jc w:val="left"/>
            </w:pPr>
            <w:r>
              <w:t>Celkem</w:t>
            </w:r>
          </w:p>
        </w:tc>
        <w:tc>
          <w:tcPr>
            <w:tcW w:w="1417" w:type="dxa"/>
            <w:tcBorders>
              <w:top w:val="single" w:sz="4" w:space="0" w:color="auto"/>
              <w:bottom w:val="single" w:sz="12" w:space="0" w:color="auto"/>
            </w:tcBorders>
            <w:vAlign w:val="center"/>
          </w:tcPr>
          <w:p w:rsidR="00EA7A83" w:rsidRDefault="00EA7A83" w:rsidP="009C0640">
            <w:pPr>
              <w:spacing w:before="0" w:after="0"/>
              <w:jc w:val="left"/>
            </w:pPr>
            <w:r>
              <w:t>ročně</w:t>
            </w:r>
          </w:p>
        </w:tc>
        <w:tc>
          <w:tcPr>
            <w:tcW w:w="2158" w:type="dxa"/>
            <w:tcBorders>
              <w:top w:val="single" w:sz="4" w:space="0" w:color="auto"/>
              <w:bottom w:val="single" w:sz="12" w:space="0" w:color="auto"/>
            </w:tcBorders>
            <w:vAlign w:val="center"/>
          </w:tcPr>
          <w:p w:rsidR="00EA7A83" w:rsidRDefault="00EA7A83" w:rsidP="009C0640">
            <w:pPr>
              <w:spacing w:before="0" w:after="0"/>
              <w:jc w:val="left"/>
            </w:pPr>
            <w:r>
              <w:t>607,1 tis. Kč</w:t>
            </w:r>
          </w:p>
        </w:tc>
      </w:tr>
    </w:tbl>
    <w:p w:rsidR="00370BDE" w:rsidRDefault="00370BDE" w:rsidP="00370BDE">
      <w:pPr>
        <w:pStyle w:val="Nadpis3"/>
      </w:pPr>
      <w:bookmarkStart w:id="117" w:name="_Toc58949379"/>
      <w:r>
        <w:t>Strojovna chladu</w:t>
      </w:r>
      <w:bookmarkEnd w:id="117"/>
    </w:p>
    <w:p w:rsidR="00853279" w:rsidRDefault="00853279" w:rsidP="00853279">
      <w:r>
        <w:t>Strojovnu chladu u varianty B je možné situovat v 6. NP v blízkosti zdroje chladu v místnostech 6P304 či 6P302. Pracovní chlazenou kapalinou (7/13°C) je voda. Součástí strojovny chladu je expanzní a doplňovací zařízení. Pro částečnou akumulaci je uvažován také malý akumulační zásobník (1 m</w:t>
      </w:r>
      <w:r w:rsidRPr="0037260B">
        <w:rPr>
          <w:vertAlign w:val="superscript"/>
        </w:rPr>
        <w:t>3</w:t>
      </w:r>
      <w:r>
        <w:t>). Oběhové čerpadlo je umístěno na vratném potrubí před jednotkou a pro případ poruchy je zdvojeno.</w:t>
      </w:r>
    </w:p>
    <w:p w:rsidR="00853279" w:rsidRDefault="00EA7A83" w:rsidP="00853279">
      <w:r>
        <w:t>S</w:t>
      </w:r>
      <w:r w:rsidR="0007335C">
        <w:t>oustav</w:t>
      </w:r>
      <w:r>
        <w:t>a</w:t>
      </w:r>
      <w:r w:rsidR="0007335C">
        <w:t xml:space="preserve"> zdroje chladu 3</w:t>
      </w:r>
      <w:r>
        <w:t xml:space="preserve"> bude propojena</w:t>
      </w:r>
      <w:r w:rsidR="0007335C">
        <w:t xml:space="preserve"> se stávající propojkou zdroje chladu CH1–CH2</w:t>
      </w:r>
      <w:r>
        <w:t xml:space="preserve"> na vodní straně</w:t>
      </w:r>
      <w:r w:rsidR="0007335C">
        <w:t xml:space="preserve">. </w:t>
      </w:r>
    </w:p>
    <w:p w:rsidR="00853279" w:rsidRDefault="0007335C" w:rsidP="00853279">
      <w:r>
        <w:t>Odhadovaná investice na zařízení strojovny vč. potrubí, zkoušek a montáže je 800 tis. Kč</w:t>
      </w:r>
      <w:r w:rsidR="00375AD3">
        <w:t xml:space="preserve"> bez DPH</w:t>
      </w:r>
      <w:r>
        <w:t>. Navržená</w:t>
      </w:r>
      <w:r w:rsidR="00853279">
        <w:t xml:space="preserve"> dispozice strojovny chladu je součástí výkresových příloh</w:t>
      </w:r>
      <w:r>
        <w:t xml:space="preserve"> </w:t>
      </w:r>
      <w:r w:rsidR="00713636">
        <w:t xml:space="preserve">– viz </w:t>
      </w:r>
      <w:r w:rsidR="00713636">
        <w:fldChar w:fldCharType="begin"/>
      </w:r>
      <w:r w:rsidR="00713636">
        <w:instrText xml:space="preserve"> REF _Ref57817007 \h </w:instrText>
      </w:r>
      <w:r w:rsidR="00713636">
        <w:fldChar w:fldCharType="separate"/>
      </w:r>
      <w:r w:rsidR="00816426">
        <w:t xml:space="preserve">Příloha č. </w:t>
      </w:r>
      <w:r w:rsidR="00816426">
        <w:rPr>
          <w:noProof/>
        </w:rPr>
        <w:t>20</w:t>
      </w:r>
      <w:r w:rsidR="00713636">
        <w:fldChar w:fldCharType="end"/>
      </w:r>
      <w:r w:rsidR="00853279">
        <w:t>.</w:t>
      </w:r>
    </w:p>
    <w:p w:rsidR="00370BDE" w:rsidRDefault="00370BDE" w:rsidP="00370BDE">
      <w:pPr>
        <w:pStyle w:val="Nadpis3"/>
      </w:pPr>
      <w:bookmarkStart w:id="118" w:name="_Ref57652931"/>
      <w:bookmarkStart w:id="119" w:name="_Toc58949380"/>
      <w:r>
        <w:t>Rozdělení chlazených prostor</w:t>
      </w:r>
      <w:bookmarkEnd w:id="118"/>
      <w:bookmarkEnd w:id="119"/>
    </w:p>
    <w:p w:rsidR="001720C5" w:rsidRDefault="0066250A" w:rsidP="0066250A">
      <w:r>
        <w:t>Výkonové rezervy jednotlivých zdrojů chladu byly uvedeny v jedné z předchozích kapitol.</w:t>
      </w:r>
    </w:p>
    <w:p w:rsidR="0066250A" w:rsidRDefault="001720C5" w:rsidP="0066250A">
      <w:r>
        <w:t>Je uvažováno pět hlavních stoupacích potrubí chladu</w:t>
      </w:r>
      <w:r w:rsidR="00EA7A83">
        <w:t xml:space="preserve"> (viz </w:t>
      </w:r>
      <w:r w:rsidR="00EC37E7">
        <w:fldChar w:fldCharType="begin"/>
      </w:r>
      <w:r w:rsidR="00EC37E7">
        <w:instrText xml:space="preserve"> REF _Ref58353264 \h </w:instrText>
      </w:r>
      <w:r w:rsidR="00EC37E7">
        <w:fldChar w:fldCharType="separate"/>
      </w:r>
      <w:r w:rsidR="00816426">
        <w:t xml:space="preserve">Tab. </w:t>
      </w:r>
      <w:r w:rsidR="00816426">
        <w:rPr>
          <w:noProof/>
        </w:rPr>
        <w:t>21</w:t>
      </w:r>
      <w:r w:rsidR="00EC37E7">
        <w:fldChar w:fldCharType="end"/>
      </w:r>
      <w:r w:rsidR="00EA7A83">
        <w:t>)</w:t>
      </w:r>
      <w:r>
        <w:t>, z nichž jedn</w:t>
      </w:r>
      <w:r w:rsidR="00EA7A83">
        <w:t>o</w:t>
      </w:r>
      <w:r>
        <w:t xml:space="preserve"> je stávající </w:t>
      </w:r>
      <w:r w:rsidR="00EA7A83">
        <w:t>a bude pouze prodlouženo</w:t>
      </w:r>
      <w:r>
        <w:t>. Všechn</w:t>
      </w:r>
      <w:r w:rsidR="00351EB2">
        <w:t>a</w:t>
      </w:r>
      <w:r>
        <w:t xml:space="preserve"> stoupací potrubí a chlazené prostory jsou součástí výkresových příloh (</w:t>
      </w:r>
      <w:r>
        <w:fldChar w:fldCharType="begin"/>
      </w:r>
      <w:r>
        <w:instrText xml:space="preserve"> REF _Ref58337999 \h </w:instrText>
      </w:r>
      <w:r>
        <w:fldChar w:fldCharType="separate"/>
      </w:r>
      <w:r w:rsidR="00816426">
        <w:t xml:space="preserve">Příloha č. </w:t>
      </w:r>
      <w:r w:rsidR="00816426">
        <w:rPr>
          <w:noProof/>
        </w:rPr>
        <w:t>21</w:t>
      </w:r>
      <w:r>
        <w:fldChar w:fldCharType="end"/>
      </w:r>
      <w:r>
        <w:t>–</w:t>
      </w:r>
      <w:r>
        <w:fldChar w:fldCharType="begin"/>
      </w:r>
      <w:r>
        <w:instrText xml:space="preserve"> REF _Ref58338019 \h </w:instrText>
      </w:r>
      <w:r>
        <w:fldChar w:fldCharType="separate"/>
      </w:r>
      <w:r w:rsidR="00816426">
        <w:t xml:space="preserve">Příloha č. </w:t>
      </w:r>
      <w:r w:rsidR="00816426">
        <w:rPr>
          <w:noProof/>
        </w:rPr>
        <w:t>28</w:t>
      </w:r>
      <w:r>
        <w:fldChar w:fldCharType="end"/>
      </w:r>
      <w:r>
        <w:t>).</w:t>
      </w:r>
    </w:p>
    <w:p w:rsidR="00EC37E7" w:rsidRDefault="00EC37E7" w:rsidP="00EC37E7">
      <w:pPr>
        <w:pStyle w:val="Tabulka"/>
      </w:pPr>
      <w:bookmarkStart w:id="120" w:name="_Ref58353264"/>
      <w:r>
        <w:t xml:space="preserve">Tab. </w:t>
      </w:r>
      <w:fldSimple w:instr=" SEQ Tab. \* ARABIC ">
        <w:r w:rsidR="00816426">
          <w:rPr>
            <w:noProof/>
          </w:rPr>
          <w:t>21</w:t>
        </w:r>
      </w:fldSimple>
      <w:bookmarkEnd w:id="120"/>
      <w:r>
        <w:t xml:space="preserve"> Seznam stoupacích potrubí chladu </w:t>
      </w:r>
    </w:p>
    <w:tbl>
      <w:tblPr>
        <w:tblStyle w:val="Mkatabulky"/>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215"/>
        <w:gridCol w:w="1008"/>
        <w:gridCol w:w="1649"/>
        <w:gridCol w:w="1906"/>
        <w:gridCol w:w="3510"/>
      </w:tblGrid>
      <w:tr w:rsidR="00EA7A83" w:rsidTr="00EC37E7">
        <w:tc>
          <w:tcPr>
            <w:tcW w:w="1215" w:type="dxa"/>
            <w:tcBorders>
              <w:top w:val="single" w:sz="12" w:space="0" w:color="auto"/>
              <w:bottom w:val="single" w:sz="4" w:space="0" w:color="auto"/>
            </w:tcBorders>
            <w:vAlign w:val="center"/>
          </w:tcPr>
          <w:p w:rsidR="00EA7A83" w:rsidRDefault="00EA7A83" w:rsidP="00EC37E7">
            <w:pPr>
              <w:keepNext/>
              <w:jc w:val="center"/>
            </w:pPr>
            <w:r>
              <w:t>Číslo stoupačky</w:t>
            </w:r>
          </w:p>
        </w:tc>
        <w:tc>
          <w:tcPr>
            <w:tcW w:w="1008" w:type="dxa"/>
            <w:tcBorders>
              <w:top w:val="single" w:sz="12" w:space="0" w:color="auto"/>
              <w:bottom w:val="single" w:sz="4" w:space="0" w:color="auto"/>
            </w:tcBorders>
            <w:vAlign w:val="center"/>
          </w:tcPr>
          <w:p w:rsidR="00EA7A83" w:rsidRDefault="00EA7A83" w:rsidP="00EC37E7">
            <w:pPr>
              <w:keepNext/>
              <w:jc w:val="center"/>
            </w:pPr>
            <w:r>
              <w:t>Zdroj chladu</w:t>
            </w:r>
          </w:p>
        </w:tc>
        <w:tc>
          <w:tcPr>
            <w:tcW w:w="1649" w:type="dxa"/>
            <w:tcBorders>
              <w:top w:val="single" w:sz="12" w:space="0" w:color="auto"/>
              <w:bottom w:val="single" w:sz="4" w:space="0" w:color="auto"/>
            </w:tcBorders>
            <w:vAlign w:val="center"/>
          </w:tcPr>
          <w:p w:rsidR="00EA7A83" w:rsidRDefault="00EA7A83" w:rsidP="00EC37E7">
            <w:pPr>
              <w:keepNext/>
              <w:jc w:val="center"/>
            </w:pPr>
            <w:r>
              <w:t>Nová/stávající stoupačka</w:t>
            </w:r>
          </w:p>
        </w:tc>
        <w:tc>
          <w:tcPr>
            <w:tcW w:w="1906" w:type="dxa"/>
            <w:tcBorders>
              <w:top w:val="single" w:sz="12" w:space="0" w:color="auto"/>
              <w:bottom w:val="single" w:sz="4" w:space="0" w:color="auto"/>
            </w:tcBorders>
            <w:vAlign w:val="center"/>
          </w:tcPr>
          <w:p w:rsidR="00EA7A83" w:rsidRDefault="00EA7A83" w:rsidP="00EC37E7">
            <w:pPr>
              <w:keepNext/>
              <w:jc w:val="center"/>
            </w:pPr>
            <w:r>
              <w:t>Chladicí kapacita</w:t>
            </w:r>
          </w:p>
          <w:p w:rsidR="00EA7A83" w:rsidRPr="00EA7A83" w:rsidRDefault="00EA7A83" w:rsidP="00EC37E7">
            <w:pPr>
              <w:keepNext/>
              <w:jc w:val="center"/>
            </w:pPr>
            <w:r>
              <w:rPr>
                <w:lang w:val="en-US"/>
              </w:rPr>
              <w:t>[kW]</w:t>
            </w:r>
          </w:p>
        </w:tc>
        <w:tc>
          <w:tcPr>
            <w:tcW w:w="3510" w:type="dxa"/>
            <w:tcBorders>
              <w:top w:val="single" w:sz="12" w:space="0" w:color="auto"/>
              <w:bottom w:val="single" w:sz="4" w:space="0" w:color="auto"/>
            </w:tcBorders>
            <w:vAlign w:val="center"/>
          </w:tcPr>
          <w:p w:rsidR="00EA7A83" w:rsidRDefault="00EC37E7" w:rsidP="00EC37E7">
            <w:pPr>
              <w:keepNext/>
              <w:jc w:val="center"/>
            </w:pPr>
            <w:r>
              <w:t>Nově chlazená podlaží danou stoupačkou</w:t>
            </w:r>
          </w:p>
        </w:tc>
      </w:tr>
      <w:tr w:rsidR="00EA7A83" w:rsidTr="00BA676D">
        <w:trPr>
          <w:trHeight w:val="397"/>
        </w:trPr>
        <w:tc>
          <w:tcPr>
            <w:tcW w:w="1215" w:type="dxa"/>
            <w:tcBorders>
              <w:top w:val="single" w:sz="4" w:space="0" w:color="auto"/>
            </w:tcBorders>
            <w:vAlign w:val="center"/>
          </w:tcPr>
          <w:p w:rsidR="00EA7A83" w:rsidRDefault="00EA7A83" w:rsidP="00BA676D">
            <w:pPr>
              <w:keepNext/>
              <w:spacing w:before="0" w:after="0"/>
              <w:jc w:val="center"/>
            </w:pPr>
            <w:r>
              <w:t>01</w:t>
            </w:r>
          </w:p>
        </w:tc>
        <w:tc>
          <w:tcPr>
            <w:tcW w:w="1008" w:type="dxa"/>
            <w:tcBorders>
              <w:top w:val="single" w:sz="4" w:space="0" w:color="auto"/>
            </w:tcBorders>
            <w:vAlign w:val="center"/>
          </w:tcPr>
          <w:p w:rsidR="00EA7A83" w:rsidRDefault="00EA7A83" w:rsidP="00BA676D">
            <w:pPr>
              <w:keepNext/>
              <w:spacing w:before="0" w:after="0"/>
              <w:jc w:val="center"/>
            </w:pPr>
            <w:r>
              <w:t>1</w:t>
            </w:r>
          </w:p>
        </w:tc>
        <w:tc>
          <w:tcPr>
            <w:tcW w:w="1649" w:type="dxa"/>
            <w:tcBorders>
              <w:top w:val="single" w:sz="4" w:space="0" w:color="auto"/>
            </w:tcBorders>
            <w:vAlign w:val="center"/>
          </w:tcPr>
          <w:p w:rsidR="00EA7A83" w:rsidRDefault="00EA7A83" w:rsidP="00BA676D">
            <w:pPr>
              <w:keepNext/>
              <w:spacing w:before="0" w:after="0"/>
              <w:jc w:val="center"/>
            </w:pPr>
            <w:r>
              <w:t>nová</w:t>
            </w:r>
          </w:p>
        </w:tc>
        <w:tc>
          <w:tcPr>
            <w:tcW w:w="1906" w:type="dxa"/>
            <w:tcBorders>
              <w:top w:val="single" w:sz="4" w:space="0" w:color="auto"/>
            </w:tcBorders>
            <w:vAlign w:val="center"/>
          </w:tcPr>
          <w:p w:rsidR="00EA7A83" w:rsidRDefault="00EA7A83" w:rsidP="00BA676D">
            <w:pPr>
              <w:keepNext/>
              <w:spacing w:before="0" w:after="0"/>
              <w:jc w:val="center"/>
            </w:pPr>
            <w:r>
              <w:t>200</w:t>
            </w:r>
          </w:p>
        </w:tc>
        <w:tc>
          <w:tcPr>
            <w:tcW w:w="3510" w:type="dxa"/>
            <w:tcBorders>
              <w:top w:val="single" w:sz="4" w:space="0" w:color="auto"/>
            </w:tcBorders>
            <w:vAlign w:val="center"/>
          </w:tcPr>
          <w:p w:rsidR="00EA7A83" w:rsidRDefault="00EC37E7" w:rsidP="00BA676D">
            <w:pPr>
              <w:keepNext/>
              <w:spacing w:before="0" w:after="0"/>
              <w:jc w:val="center"/>
            </w:pPr>
            <w:r>
              <w:t>4P, 3P, 2P, 1P, ME</w:t>
            </w:r>
          </w:p>
        </w:tc>
      </w:tr>
      <w:tr w:rsidR="00EC37E7" w:rsidTr="00BA676D">
        <w:trPr>
          <w:trHeight w:val="397"/>
        </w:trPr>
        <w:tc>
          <w:tcPr>
            <w:tcW w:w="1215" w:type="dxa"/>
            <w:vAlign w:val="center"/>
          </w:tcPr>
          <w:p w:rsidR="00EC37E7" w:rsidRDefault="00EC37E7" w:rsidP="00BA676D">
            <w:pPr>
              <w:keepNext/>
              <w:spacing w:before="0" w:after="0"/>
              <w:jc w:val="center"/>
            </w:pPr>
            <w:r>
              <w:t>02</w:t>
            </w:r>
          </w:p>
        </w:tc>
        <w:tc>
          <w:tcPr>
            <w:tcW w:w="1008" w:type="dxa"/>
            <w:vAlign w:val="center"/>
          </w:tcPr>
          <w:p w:rsidR="00EC37E7" w:rsidRDefault="00EC37E7" w:rsidP="00BA676D">
            <w:pPr>
              <w:keepNext/>
              <w:spacing w:before="0" w:after="0"/>
              <w:jc w:val="center"/>
            </w:pPr>
            <w:r>
              <w:t>1</w:t>
            </w:r>
          </w:p>
        </w:tc>
        <w:tc>
          <w:tcPr>
            <w:tcW w:w="1649" w:type="dxa"/>
            <w:vAlign w:val="center"/>
          </w:tcPr>
          <w:p w:rsidR="00EC37E7" w:rsidRDefault="00EC37E7" w:rsidP="00BA676D">
            <w:pPr>
              <w:keepNext/>
              <w:spacing w:before="0" w:after="0"/>
              <w:jc w:val="center"/>
            </w:pPr>
            <w:r>
              <w:t>nová</w:t>
            </w:r>
          </w:p>
        </w:tc>
        <w:tc>
          <w:tcPr>
            <w:tcW w:w="1906" w:type="dxa"/>
            <w:vAlign w:val="center"/>
          </w:tcPr>
          <w:p w:rsidR="00EC37E7" w:rsidRDefault="00EC37E7" w:rsidP="00BA676D">
            <w:pPr>
              <w:keepNext/>
              <w:spacing w:before="0" w:after="0"/>
              <w:jc w:val="center"/>
            </w:pPr>
            <w:r>
              <w:t>200</w:t>
            </w:r>
          </w:p>
        </w:tc>
        <w:tc>
          <w:tcPr>
            <w:tcW w:w="3510" w:type="dxa"/>
            <w:vAlign w:val="center"/>
          </w:tcPr>
          <w:p w:rsidR="00EC37E7" w:rsidRDefault="00EC37E7" w:rsidP="00BA676D">
            <w:pPr>
              <w:keepNext/>
              <w:spacing w:before="0" w:after="0"/>
              <w:jc w:val="center"/>
            </w:pPr>
            <w:r>
              <w:t>4P, 3P, 2P, 1P, ME</w:t>
            </w:r>
          </w:p>
        </w:tc>
      </w:tr>
      <w:tr w:rsidR="00EC37E7" w:rsidTr="00BA676D">
        <w:trPr>
          <w:trHeight w:val="397"/>
        </w:trPr>
        <w:tc>
          <w:tcPr>
            <w:tcW w:w="1215" w:type="dxa"/>
            <w:vAlign w:val="center"/>
          </w:tcPr>
          <w:p w:rsidR="00EC37E7" w:rsidRDefault="00EC37E7" w:rsidP="00BA676D">
            <w:pPr>
              <w:keepNext/>
              <w:spacing w:before="0" w:after="0"/>
              <w:jc w:val="center"/>
            </w:pPr>
            <w:r>
              <w:t>03</w:t>
            </w:r>
          </w:p>
        </w:tc>
        <w:tc>
          <w:tcPr>
            <w:tcW w:w="1008" w:type="dxa"/>
            <w:vAlign w:val="center"/>
          </w:tcPr>
          <w:p w:rsidR="00EC37E7" w:rsidRDefault="00EC37E7" w:rsidP="00BA676D">
            <w:pPr>
              <w:keepNext/>
              <w:spacing w:before="0" w:after="0"/>
              <w:jc w:val="center"/>
            </w:pPr>
            <w:r>
              <w:t>3</w:t>
            </w:r>
          </w:p>
        </w:tc>
        <w:tc>
          <w:tcPr>
            <w:tcW w:w="1649" w:type="dxa"/>
            <w:vAlign w:val="center"/>
          </w:tcPr>
          <w:p w:rsidR="00EC37E7" w:rsidRDefault="00EC37E7" w:rsidP="00BA676D">
            <w:pPr>
              <w:keepNext/>
              <w:spacing w:before="0" w:after="0"/>
              <w:jc w:val="center"/>
            </w:pPr>
            <w:r>
              <w:t>nová</w:t>
            </w:r>
          </w:p>
        </w:tc>
        <w:tc>
          <w:tcPr>
            <w:tcW w:w="1906" w:type="dxa"/>
            <w:vAlign w:val="center"/>
          </w:tcPr>
          <w:p w:rsidR="00EC37E7" w:rsidRDefault="00EC37E7" w:rsidP="00BA676D">
            <w:pPr>
              <w:keepNext/>
              <w:spacing w:before="0" w:after="0"/>
              <w:jc w:val="center"/>
            </w:pPr>
            <w:r>
              <w:t>200</w:t>
            </w:r>
          </w:p>
        </w:tc>
        <w:tc>
          <w:tcPr>
            <w:tcW w:w="3510" w:type="dxa"/>
            <w:vAlign w:val="center"/>
          </w:tcPr>
          <w:p w:rsidR="00EC37E7" w:rsidRDefault="00EC37E7" w:rsidP="00BA676D">
            <w:pPr>
              <w:keepNext/>
              <w:spacing w:before="0" w:after="0"/>
              <w:jc w:val="center"/>
            </w:pPr>
            <w:r>
              <w:t>4P, 3P, 1P, ME</w:t>
            </w:r>
          </w:p>
        </w:tc>
      </w:tr>
      <w:tr w:rsidR="00EC37E7" w:rsidTr="00BA676D">
        <w:trPr>
          <w:trHeight w:val="397"/>
        </w:trPr>
        <w:tc>
          <w:tcPr>
            <w:tcW w:w="1215" w:type="dxa"/>
            <w:vAlign w:val="center"/>
          </w:tcPr>
          <w:p w:rsidR="00EC37E7" w:rsidRDefault="00EC37E7" w:rsidP="00BA676D">
            <w:pPr>
              <w:keepNext/>
              <w:spacing w:before="0" w:after="0"/>
              <w:jc w:val="center"/>
            </w:pPr>
            <w:r>
              <w:t>04</w:t>
            </w:r>
          </w:p>
        </w:tc>
        <w:tc>
          <w:tcPr>
            <w:tcW w:w="1008" w:type="dxa"/>
            <w:vAlign w:val="center"/>
          </w:tcPr>
          <w:p w:rsidR="00EC37E7" w:rsidRDefault="00EC37E7" w:rsidP="00BA676D">
            <w:pPr>
              <w:keepNext/>
              <w:spacing w:before="0" w:after="0"/>
              <w:jc w:val="center"/>
            </w:pPr>
            <w:r>
              <w:t>3</w:t>
            </w:r>
          </w:p>
        </w:tc>
        <w:tc>
          <w:tcPr>
            <w:tcW w:w="1649" w:type="dxa"/>
            <w:vAlign w:val="center"/>
          </w:tcPr>
          <w:p w:rsidR="00EC37E7" w:rsidRDefault="00EC37E7" w:rsidP="00BA676D">
            <w:pPr>
              <w:keepNext/>
              <w:spacing w:before="0" w:after="0"/>
              <w:jc w:val="center"/>
            </w:pPr>
            <w:r>
              <w:t>nová</w:t>
            </w:r>
          </w:p>
        </w:tc>
        <w:tc>
          <w:tcPr>
            <w:tcW w:w="1906" w:type="dxa"/>
            <w:vAlign w:val="center"/>
          </w:tcPr>
          <w:p w:rsidR="00EC37E7" w:rsidRDefault="00EC37E7" w:rsidP="00BA676D">
            <w:pPr>
              <w:keepNext/>
              <w:spacing w:before="0" w:after="0"/>
              <w:jc w:val="center"/>
            </w:pPr>
            <w:r>
              <w:t>200</w:t>
            </w:r>
          </w:p>
        </w:tc>
        <w:tc>
          <w:tcPr>
            <w:tcW w:w="3510" w:type="dxa"/>
            <w:vAlign w:val="center"/>
          </w:tcPr>
          <w:p w:rsidR="00EC37E7" w:rsidRDefault="00EC37E7" w:rsidP="00BA676D">
            <w:pPr>
              <w:keepNext/>
              <w:spacing w:before="0" w:after="0"/>
              <w:jc w:val="center"/>
            </w:pPr>
            <w:r>
              <w:t>4P, 3P, 2P, 1P, ME</w:t>
            </w:r>
          </w:p>
        </w:tc>
      </w:tr>
      <w:tr w:rsidR="00EC37E7" w:rsidTr="00BA676D">
        <w:trPr>
          <w:trHeight w:val="397"/>
        </w:trPr>
        <w:tc>
          <w:tcPr>
            <w:tcW w:w="1215" w:type="dxa"/>
            <w:vAlign w:val="center"/>
          </w:tcPr>
          <w:p w:rsidR="00EC37E7" w:rsidRDefault="00EC37E7" w:rsidP="00BA676D">
            <w:pPr>
              <w:spacing w:before="0" w:after="0"/>
              <w:jc w:val="center"/>
            </w:pPr>
            <w:r>
              <w:t>05</w:t>
            </w:r>
          </w:p>
        </w:tc>
        <w:tc>
          <w:tcPr>
            <w:tcW w:w="1008" w:type="dxa"/>
            <w:vAlign w:val="center"/>
          </w:tcPr>
          <w:p w:rsidR="00EC37E7" w:rsidRDefault="00C73B23" w:rsidP="00BA676D">
            <w:pPr>
              <w:spacing w:before="0" w:after="0"/>
              <w:jc w:val="center"/>
            </w:pPr>
            <w:r>
              <w:t>2</w:t>
            </w:r>
          </w:p>
        </w:tc>
        <w:tc>
          <w:tcPr>
            <w:tcW w:w="1649" w:type="dxa"/>
            <w:vAlign w:val="center"/>
          </w:tcPr>
          <w:p w:rsidR="00EC37E7" w:rsidRDefault="00EC37E7" w:rsidP="00BA676D">
            <w:pPr>
              <w:spacing w:before="0" w:after="0"/>
              <w:jc w:val="center"/>
            </w:pPr>
            <w:r>
              <w:t>stávající</w:t>
            </w:r>
          </w:p>
        </w:tc>
        <w:tc>
          <w:tcPr>
            <w:tcW w:w="1906" w:type="dxa"/>
            <w:vAlign w:val="center"/>
          </w:tcPr>
          <w:p w:rsidR="00EC37E7" w:rsidRDefault="00EC37E7" w:rsidP="00BA676D">
            <w:pPr>
              <w:spacing w:before="0" w:after="0"/>
              <w:jc w:val="center"/>
            </w:pPr>
            <w:r>
              <w:t>200</w:t>
            </w:r>
          </w:p>
        </w:tc>
        <w:tc>
          <w:tcPr>
            <w:tcW w:w="3510" w:type="dxa"/>
            <w:vAlign w:val="center"/>
          </w:tcPr>
          <w:p w:rsidR="00EC37E7" w:rsidRDefault="00EC37E7" w:rsidP="00BA676D">
            <w:pPr>
              <w:spacing w:before="0" w:after="0"/>
              <w:jc w:val="center"/>
            </w:pPr>
            <w:r>
              <w:t>2P, 1P, ME, VP, PR</w:t>
            </w:r>
          </w:p>
        </w:tc>
      </w:tr>
    </w:tbl>
    <w:p w:rsidR="0066250A" w:rsidRDefault="0066250A" w:rsidP="0066250A">
      <w:r>
        <w:t xml:space="preserve">Výkonová rezerva 80 kW </w:t>
      </w:r>
      <w:r w:rsidRPr="00C73B23">
        <w:t xml:space="preserve">(zdroj chladu </w:t>
      </w:r>
      <w:r w:rsidR="00C73B23" w:rsidRPr="00C73B23">
        <w:t>2</w:t>
      </w:r>
      <w:r>
        <w:t xml:space="preserve">) na stoupacím potrubí </w:t>
      </w:r>
      <w:r w:rsidR="00EC37E7">
        <w:t xml:space="preserve">„05“ </w:t>
      </w:r>
      <w:r>
        <w:t>v křídle budovy 1.4 (Senovážná), která prozatím distribuuje chladem 3. a 4. NP bude využita pro chlazení části 2P (část budovy ze Senovážné ulice, kromě části určené pro guvernéry – již chlazeno)</w:t>
      </w:r>
      <w:r w:rsidR="00EC37E7">
        <w:t>, dále pro podlaží 1P, mezaninového patra a vybraných místností vloženého patra a přízemí</w:t>
      </w:r>
      <w:r>
        <w:t>.</w:t>
      </w:r>
    </w:p>
    <w:p w:rsidR="0066250A" w:rsidRDefault="0066250A" w:rsidP="0066250A">
      <w:r>
        <w:t>Výkonová rezerva 400 kW (zdroj chladu 1</w:t>
      </w:r>
      <w:r w:rsidR="00475D18">
        <w:t>, stoupací potrubí „01“, „02“</w:t>
      </w:r>
      <w:r>
        <w:t>) poslouží jako zdroj chladu pro opačnou část budovy (</w:t>
      </w:r>
      <w:r w:rsidR="00475D18">
        <w:t xml:space="preserve">mezaninové patro, 1P, </w:t>
      </w:r>
      <w:r>
        <w:t>2P, 3P, 4P). Jedná se o část směrem k Nekázance.</w:t>
      </w:r>
    </w:p>
    <w:p w:rsidR="0066250A" w:rsidRDefault="0066250A" w:rsidP="0066250A">
      <w:r>
        <w:t>Zdroj chladu 3 (</w:t>
      </w:r>
      <w:r w:rsidR="00475D18">
        <w:t>stoupací potrubí „03“, „04“</w:t>
      </w:r>
      <w:r>
        <w:t>) bude využit pro chlazení středního traktu</w:t>
      </w:r>
      <w:r w:rsidR="00475D18">
        <w:t xml:space="preserve"> budovy a části</w:t>
      </w:r>
      <w:r>
        <w:t xml:space="preserve"> budovy</w:t>
      </w:r>
      <w:r w:rsidR="00475D18">
        <w:t xml:space="preserve"> směrem k ulici Na Příkopě</w:t>
      </w:r>
      <w:r>
        <w:t xml:space="preserve"> </w:t>
      </w:r>
      <w:r w:rsidR="00475D18">
        <w:t xml:space="preserve">v podlažích </w:t>
      </w:r>
      <w:r w:rsidR="001F7A88">
        <w:t>mezaninového patra, 1P, 2P, 3P, 4P</w:t>
      </w:r>
      <w:r>
        <w:t>.</w:t>
      </w:r>
    </w:p>
    <w:p w:rsidR="00370BDE" w:rsidRDefault="00370BDE" w:rsidP="00370BDE">
      <w:pPr>
        <w:pStyle w:val="Nadpis3"/>
      </w:pPr>
      <w:bookmarkStart w:id="121" w:name="_Toc58949381"/>
      <w:r>
        <w:t>Splnění hlukových limitů</w:t>
      </w:r>
      <w:bookmarkEnd w:id="121"/>
    </w:p>
    <w:p w:rsidR="00554F0C" w:rsidRDefault="00554F0C" w:rsidP="00554F0C">
      <w:r>
        <w:t>Předmětem posouzení splnění hlukových limitů je provoz jednotky zdroje chladu 3 mezi dvěma jednotkami zdroje chladu 2. Vychází se z</w:t>
      </w:r>
      <w:r w:rsidR="00432C8C">
        <w:t xml:space="preserve"> měř</w:t>
      </w:r>
      <w:r>
        <w:t>ení prapůvodních zdrojů hluku z</w:t>
      </w:r>
      <w:r w:rsidR="00432C8C">
        <w:t> roku 2014</w:t>
      </w:r>
      <w:r>
        <w:t xml:space="preserve"> osazených na místě zdroje chladu 2, 3 – prapůvodní jednotky TRANE ERTAA 217.</w:t>
      </w:r>
    </w:p>
    <w:p w:rsidR="00554F0C" w:rsidRDefault="00554F0C" w:rsidP="00554F0C">
      <w:r>
        <w:t>Měření hladin akustického tlaku proběhlo při provozu všech čtyř jednotek</w:t>
      </w:r>
      <w:r w:rsidR="00432C8C">
        <w:t xml:space="preserve"> (zdroj chladu 1, 2)</w:t>
      </w:r>
      <w:r>
        <w:t xml:space="preserve">. </w:t>
      </w:r>
      <w:r w:rsidR="009C0640">
        <w:t xml:space="preserve">V roce 2014 </w:t>
      </w:r>
      <w:r w:rsidR="00432C8C">
        <w:t>byly měřeny hladiny akustického tlaku uvnitř kanceláří</w:t>
      </w:r>
      <w:r w:rsidR="009C0640">
        <w:t xml:space="preserve"> 5P418, 5P107. Výsledky těchto měření shrnuje </w:t>
      </w:r>
      <w:r w:rsidR="00432C8C">
        <w:fldChar w:fldCharType="begin"/>
      </w:r>
      <w:r w:rsidR="00432C8C">
        <w:instrText xml:space="preserve"> REF _Ref56515466 \h </w:instrText>
      </w:r>
      <w:r w:rsidR="00432C8C">
        <w:fldChar w:fldCharType="separate"/>
      </w:r>
      <w:r w:rsidR="00816426">
        <w:t xml:space="preserve">Tab. </w:t>
      </w:r>
      <w:r w:rsidR="00816426">
        <w:rPr>
          <w:noProof/>
        </w:rPr>
        <w:t>22</w:t>
      </w:r>
      <w:r w:rsidR="00432C8C">
        <w:fldChar w:fldCharType="end"/>
      </w:r>
      <w:r w:rsidR="009C0640">
        <w:t>.</w:t>
      </w:r>
    </w:p>
    <w:p w:rsidR="009C0640" w:rsidRDefault="009C0640" w:rsidP="001720C5">
      <w:pPr>
        <w:pStyle w:val="Tabulka"/>
      </w:pPr>
      <w:bookmarkStart w:id="122" w:name="_Ref56515466"/>
      <w:r>
        <w:t xml:space="preserve">Tab. </w:t>
      </w:r>
      <w:fldSimple w:instr=" SEQ Tab. \* ARABIC ">
        <w:r w:rsidR="00816426">
          <w:rPr>
            <w:noProof/>
          </w:rPr>
          <w:t>22</w:t>
        </w:r>
      </w:fldSimple>
      <w:bookmarkEnd w:id="122"/>
      <w:r>
        <w:t xml:space="preserve"> Měření hladin akustického tlaku v kancelářích při provozu chladicích jednotek</w:t>
      </w:r>
    </w:p>
    <w:tbl>
      <w:tblPr>
        <w:tblStyle w:val="Mkatabulky"/>
        <w:tblW w:w="0" w:type="auto"/>
        <w:tblLook w:val="04A0" w:firstRow="1" w:lastRow="0" w:firstColumn="1" w:lastColumn="0" w:noHBand="0" w:noVBand="1"/>
      </w:tblPr>
      <w:tblGrid>
        <w:gridCol w:w="6487"/>
        <w:gridCol w:w="2725"/>
      </w:tblGrid>
      <w:tr w:rsidR="00432C8C" w:rsidTr="00432C8C">
        <w:trPr>
          <w:trHeight w:val="397"/>
        </w:trPr>
        <w:tc>
          <w:tcPr>
            <w:tcW w:w="6487" w:type="dxa"/>
            <w:tcBorders>
              <w:top w:val="single" w:sz="12" w:space="0" w:color="auto"/>
              <w:left w:val="nil"/>
              <w:bottom w:val="single" w:sz="4" w:space="0" w:color="auto"/>
              <w:right w:val="nil"/>
            </w:tcBorders>
            <w:vAlign w:val="center"/>
          </w:tcPr>
          <w:p w:rsidR="00432C8C" w:rsidRDefault="00432C8C" w:rsidP="001720C5">
            <w:pPr>
              <w:keepNext/>
              <w:spacing w:before="0" w:after="0"/>
              <w:jc w:val="left"/>
            </w:pPr>
            <w:r>
              <w:t>Měření 3. 4. 2014 (Ing. Petr Havránek, Greif-akustika, s.r.o.)</w:t>
            </w:r>
          </w:p>
        </w:tc>
        <w:tc>
          <w:tcPr>
            <w:tcW w:w="2725" w:type="dxa"/>
            <w:tcBorders>
              <w:top w:val="single" w:sz="12" w:space="0" w:color="auto"/>
              <w:left w:val="nil"/>
              <w:bottom w:val="single" w:sz="4" w:space="0" w:color="auto"/>
              <w:right w:val="nil"/>
            </w:tcBorders>
            <w:vAlign w:val="center"/>
          </w:tcPr>
          <w:p w:rsidR="00432C8C" w:rsidRPr="00432C8C" w:rsidRDefault="00432C8C" w:rsidP="001720C5">
            <w:pPr>
              <w:keepNext/>
              <w:spacing w:before="0" w:after="0"/>
              <w:jc w:val="left"/>
              <w:rPr>
                <w:lang w:val="en-US"/>
              </w:rPr>
            </w:pPr>
            <w:r>
              <w:t>L</w:t>
            </w:r>
            <w:r w:rsidRPr="00432C8C">
              <w:rPr>
                <w:vertAlign w:val="subscript"/>
              </w:rPr>
              <w:t>Aeq</w:t>
            </w:r>
            <w:r>
              <w:t xml:space="preserve"> </w:t>
            </w:r>
            <w:r>
              <w:rPr>
                <w:lang w:val="en-US"/>
              </w:rPr>
              <w:t>[dB]</w:t>
            </w:r>
          </w:p>
        </w:tc>
      </w:tr>
      <w:tr w:rsidR="009C0640" w:rsidTr="009C0640">
        <w:trPr>
          <w:trHeight w:val="397"/>
        </w:trPr>
        <w:tc>
          <w:tcPr>
            <w:tcW w:w="6487" w:type="dxa"/>
            <w:tcBorders>
              <w:top w:val="single" w:sz="4" w:space="0" w:color="auto"/>
              <w:left w:val="nil"/>
              <w:bottom w:val="nil"/>
              <w:right w:val="nil"/>
            </w:tcBorders>
            <w:vAlign w:val="center"/>
          </w:tcPr>
          <w:p w:rsidR="009C0640" w:rsidRDefault="009C0640" w:rsidP="001720C5">
            <w:pPr>
              <w:keepNext/>
              <w:spacing w:before="0" w:after="0"/>
              <w:jc w:val="left"/>
            </w:pPr>
            <w:r>
              <w:t>Místnost 5P</w:t>
            </w:r>
            <w:r w:rsidR="00432C8C">
              <w:t>418, při zavřeném okně</w:t>
            </w:r>
          </w:p>
        </w:tc>
        <w:tc>
          <w:tcPr>
            <w:tcW w:w="2725" w:type="dxa"/>
            <w:tcBorders>
              <w:top w:val="single" w:sz="4" w:space="0" w:color="auto"/>
              <w:left w:val="nil"/>
              <w:bottom w:val="nil"/>
              <w:right w:val="nil"/>
            </w:tcBorders>
            <w:vAlign w:val="center"/>
          </w:tcPr>
          <w:p w:rsidR="009C0640" w:rsidRPr="009068A5" w:rsidRDefault="00432C8C" w:rsidP="001720C5">
            <w:pPr>
              <w:keepNext/>
              <w:spacing w:before="0" w:after="0"/>
              <w:jc w:val="left"/>
            </w:pPr>
            <w:r>
              <w:t xml:space="preserve">38 až 40 </w:t>
            </w:r>
          </w:p>
        </w:tc>
      </w:tr>
      <w:tr w:rsidR="009C0640" w:rsidTr="009C0640">
        <w:trPr>
          <w:trHeight w:val="397"/>
        </w:trPr>
        <w:tc>
          <w:tcPr>
            <w:tcW w:w="6487" w:type="dxa"/>
            <w:tcBorders>
              <w:top w:val="nil"/>
              <w:left w:val="nil"/>
              <w:bottom w:val="single" w:sz="12" w:space="0" w:color="auto"/>
              <w:right w:val="nil"/>
            </w:tcBorders>
            <w:vAlign w:val="center"/>
          </w:tcPr>
          <w:p w:rsidR="009C0640" w:rsidRDefault="009C0640" w:rsidP="00432C8C">
            <w:pPr>
              <w:spacing w:before="0" w:after="0"/>
              <w:jc w:val="left"/>
            </w:pPr>
            <w:r>
              <w:t>Místnost 5P</w:t>
            </w:r>
            <w:r w:rsidR="00432C8C">
              <w:t>107, při zavřeném okně</w:t>
            </w:r>
          </w:p>
        </w:tc>
        <w:tc>
          <w:tcPr>
            <w:tcW w:w="2725" w:type="dxa"/>
            <w:tcBorders>
              <w:top w:val="nil"/>
              <w:left w:val="nil"/>
              <w:bottom w:val="single" w:sz="12" w:space="0" w:color="auto"/>
              <w:right w:val="nil"/>
            </w:tcBorders>
            <w:vAlign w:val="center"/>
          </w:tcPr>
          <w:p w:rsidR="009C0640" w:rsidRDefault="00432C8C" w:rsidP="009C0640">
            <w:pPr>
              <w:spacing w:before="0" w:after="0"/>
              <w:jc w:val="left"/>
            </w:pPr>
            <w:r>
              <w:t xml:space="preserve">33 až 34 </w:t>
            </w:r>
          </w:p>
        </w:tc>
      </w:tr>
    </w:tbl>
    <w:p w:rsidR="00131B9D" w:rsidRDefault="00432C8C" w:rsidP="00554F0C">
      <w:r>
        <w:t xml:space="preserve">Hygienický limit </w:t>
      </w:r>
      <w:r w:rsidR="00131B9D">
        <w:t>pro pracoviště určená pro tvůrčí práci vyjádřený ekvivalentní hladinou akustického tlaku A L</w:t>
      </w:r>
      <w:r w:rsidR="00131B9D" w:rsidRPr="00131B9D">
        <w:rPr>
          <w:vertAlign w:val="subscript"/>
        </w:rPr>
        <w:t>Aeq,8h</w:t>
      </w:r>
      <w:r w:rsidR="00131B9D">
        <w:t xml:space="preserve"> činí 50 dB. Ten byl při měření s velkou rezervou dodržen. Při stejném měření (2014) byl určen také akustický výkon L</w:t>
      </w:r>
      <w:r w:rsidR="00131B9D" w:rsidRPr="00131B9D">
        <w:rPr>
          <w:vertAlign w:val="subscript"/>
        </w:rPr>
        <w:t>W</w:t>
      </w:r>
      <w:r w:rsidR="00131B9D">
        <w:t xml:space="preserve"> nahrazovaných zdrojů chladu 2. Ten byl u jednoho zdroje změřen – výsledek 98,8 </w:t>
      </w:r>
      <w:r w:rsidR="00131B9D">
        <w:rPr>
          <w:rFonts w:cs="Arial"/>
        </w:rPr>
        <w:t>±</w:t>
      </w:r>
      <w:r w:rsidR="00131B9D">
        <w:t xml:space="preserve"> 3,7 dB (katalogová hodnota 97 dB). Při zdvojnásobení stejných zdrojů hluku, lze hovořit o akustickém výkonu 100 dB.</w:t>
      </w:r>
    </w:p>
    <w:p w:rsidR="00554F0C" w:rsidRPr="00554F0C" w:rsidRDefault="00131B9D" w:rsidP="00BA676D">
      <w:pPr>
        <w:sectPr w:rsidR="00554F0C" w:rsidRPr="00554F0C" w:rsidSect="00F91C8B">
          <w:pgSz w:w="11906" w:h="16838"/>
          <w:pgMar w:top="1417" w:right="1417" w:bottom="1417" w:left="1417" w:header="709" w:footer="709" w:gutter="0"/>
          <w:cols w:space="708"/>
          <w:docGrid w:linePitch="360"/>
        </w:sectPr>
      </w:pPr>
      <w:r>
        <w:t xml:space="preserve">Posuzovaná situace vedle sebe staví tři přibližně stejné zdroje hluku (zdroj chladu 2 – 91 dB, 91 dB, zdroj chladu 3 – 90 dB). Pokud dojde k jejich sečtení, výsledná hodnota akustického výkonu je přibližně 97 dB, což je méně než původních 100 dB. </w:t>
      </w:r>
      <w:r w:rsidRPr="00131B9D">
        <w:rPr>
          <w:b/>
        </w:rPr>
        <w:t xml:space="preserve">Na základě tohoto tvrzení </w:t>
      </w:r>
      <w:r w:rsidR="00D75051">
        <w:rPr>
          <w:b/>
        </w:rPr>
        <w:t>nebudou</w:t>
      </w:r>
      <w:r w:rsidRPr="00131B9D">
        <w:rPr>
          <w:b/>
        </w:rPr>
        <w:t xml:space="preserve"> překročeny hladiny akustického tlaku na pracovištích.</w:t>
      </w:r>
    </w:p>
    <w:p w:rsidR="00370BDE" w:rsidRPr="00370BDE" w:rsidRDefault="00370BDE" w:rsidP="00370BDE">
      <w:pPr>
        <w:pStyle w:val="Nadpis3"/>
      </w:pPr>
      <w:bookmarkStart w:id="123" w:name="_Toc58949382"/>
      <w:r>
        <w:t>SWOT analýza</w:t>
      </w:r>
      <w:bookmarkEnd w:id="123"/>
    </w:p>
    <w:tbl>
      <w:tblPr>
        <w:tblStyle w:val="Mkatabulky"/>
        <w:tblW w:w="0" w:type="auto"/>
        <w:tblLook w:val="04A0" w:firstRow="1" w:lastRow="0" w:firstColumn="1" w:lastColumn="0" w:noHBand="0" w:noVBand="1"/>
      </w:tblPr>
      <w:tblGrid>
        <w:gridCol w:w="817"/>
        <w:gridCol w:w="6663"/>
        <w:gridCol w:w="6664"/>
      </w:tblGrid>
      <w:tr w:rsidR="0043544A" w:rsidTr="00501AA9">
        <w:tc>
          <w:tcPr>
            <w:tcW w:w="817" w:type="dxa"/>
            <w:vMerge w:val="restart"/>
            <w:textDirection w:val="btLr"/>
          </w:tcPr>
          <w:p w:rsidR="0043544A" w:rsidRPr="0043544A" w:rsidRDefault="0043544A" w:rsidP="00501AA9">
            <w:pPr>
              <w:ind w:left="113" w:right="113"/>
              <w:jc w:val="center"/>
              <w:rPr>
                <w:b/>
                <w:sz w:val="26"/>
                <w:szCs w:val="26"/>
              </w:rPr>
            </w:pPr>
            <w:r w:rsidRPr="0043544A">
              <w:rPr>
                <w:b/>
                <w:sz w:val="26"/>
                <w:szCs w:val="26"/>
              </w:rPr>
              <w:t>Interní faktory</w:t>
            </w:r>
          </w:p>
        </w:tc>
        <w:tc>
          <w:tcPr>
            <w:tcW w:w="6663" w:type="dxa"/>
            <w:shd w:val="clear" w:color="auto" w:fill="EAF1DD" w:themeFill="accent3" w:themeFillTint="33"/>
          </w:tcPr>
          <w:p w:rsidR="0043544A" w:rsidRPr="00501AA9" w:rsidRDefault="0043544A" w:rsidP="00501AA9">
            <w:pPr>
              <w:jc w:val="left"/>
              <w:rPr>
                <w:sz w:val="26"/>
                <w:szCs w:val="26"/>
              </w:rPr>
            </w:pPr>
            <w:r w:rsidRPr="00501AA9">
              <w:rPr>
                <w:sz w:val="26"/>
                <w:szCs w:val="26"/>
              </w:rPr>
              <w:t>Silné stránky (Strenghts)</w:t>
            </w:r>
          </w:p>
        </w:tc>
        <w:tc>
          <w:tcPr>
            <w:tcW w:w="6664" w:type="dxa"/>
            <w:shd w:val="clear" w:color="auto" w:fill="FDE9D9" w:themeFill="accent6" w:themeFillTint="33"/>
          </w:tcPr>
          <w:p w:rsidR="0043544A" w:rsidRPr="00501AA9" w:rsidRDefault="0043544A" w:rsidP="00501AA9">
            <w:pPr>
              <w:jc w:val="left"/>
              <w:rPr>
                <w:sz w:val="26"/>
                <w:szCs w:val="26"/>
              </w:rPr>
            </w:pPr>
            <w:r w:rsidRPr="00501AA9">
              <w:rPr>
                <w:sz w:val="26"/>
                <w:szCs w:val="26"/>
              </w:rPr>
              <w:t>Slabé stránky (Weaknesses)</w:t>
            </w:r>
          </w:p>
        </w:tc>
      </w:tr>
      <w:tr w:rsidR="0043544A" w:rsidTr="00501AA9">
        <w:trPr>
          <w:trHeight w:val="3402"/>
        </w:trPr>
        <w:tc>
          <w:tcPr>
            <w:tcW w:w="817" w:type="dxa"/>
            <w:vMerge/>
          </w:tcPr>
          <w:p w:rsidR="0043544A" w:rsidRPr="0043544A" w:rsidRDefault="0043544A" w:rsidP="00501AA9">
            <w:pPr>
              <w:jc w:val="center"/>
              <w:rPr>
                <w:b/>
                <w:sz w:val="26"/>
                <w:szCs w:val="26"/>
              </w:rPr>
            </w:pPr>
          </w:p>
        </w:tc>
        <w:tc>
          <w:tcPr>
            <w:tcW w:w="6663" w:type="dxa"/>
            <w:shd w:val="clear" w:color="auto" w:fill="EAF1DD" w:themeFill="accent3" w:themeFillTint="33"/>
          </w:tcPr>
          <w:p w:rsidR="00501AA9" w:rsidRPr="00501AA9" w:rsidRDefault="00501AA9" w:rsidP="00501AA9">
            <w:pPr>
              <w:pStyle w:val="Odstavecseseznamem"/>
              <w:numPr>
                <w:ilvl w:val="0"/>
                <w:numId w:val="22"/>
              </w:numPr>
              <w:jc w:val="left"/>
            </w:pPr>
            <w:r w:rsidRPr="00501AA9">
              <w:t>nižší pořizovací cena</w:t>
            </w:r>
          </w:p>
          <w:p w:rsidR="00501AA9" w:rsidRPr="00501AA9" w:rsidRDefault="00501AA9" w:rsidP="00501AA9">
            <w:pPr>
              <w:pStyle w:val="Odstavecseseznamem"/>
              <w:numPr>
                <w:ilvl w:val="0"/>
                <w:numId w:val="22"/>
              </w:numPr>
              <w:jc w:val="left"/>
            </w:pPr>
            <w:r w:rsidRPr="00501AA9">
              <w:t>provoz chlazení nezávislý na provozu KGJ</w:t>
            </w:r>
          </w:p>
          <w:p w:rsidR="0043544A" w:rsidRPr="00501AA9" w:rsidRDefault="00501AA9" w:rsidP="00501AA9">
            <w:pPr>
              <w:pStyle w:val="Odstavecseseznamem"/>
              <w:numPr>
                <w:ilvl w:val="0"/>
                <w:numId w:val="22"/>
              </w:numPr>
              <w:jc w:val="left"/>
            </w:pPr>
            <w:r w:rsidRPr="00501AA9">
              <w:t>levnější provoz chlazení v přepočtu na ceny vstupních energií</w:t>
            </w:r>
          </w:p>
          <w:p w:rsidR="00501AA9" w:rsidRPr="00501AA9" w:rsidRDefault="00501AA9" w:rsidP="00501AA9">
            <w:pPr>
              <w:pStyle w:val="Odstavecseseznamem"/>
              <w:numPr>
                <w:ilvl w:val="0"/>
                <w:numId w:val="22"/>
              </w:numPr>
              <w:jc w:val="left"/>
            </w:pPr>
            <w:r w:rsidRPr="00501AA9">
              <w:t>systém odzkoušený v ČNB</w:t>
            </w:r>
          </w:p>
        </w:tc>
        <w:tc>
          <w:tcPr>
            <w:tcW w:w="6664" w:type="dxa"/>
            <w:shd w:val="clear" w:color="auto" w:fill="FDE9D9" w:themeFill="accent6" w:themeFillTint="33"/>
          </w:tcPr>
          <w:p w:rsidR="0043544A" w:rsidRPr="00501AA9" w:rsidRDefault="00501AA9" w:rsidP="00501AA9">
            <w:pPr>
              <w:pStyle w:val="Odstavecseseznamem"/>
              <w:numPr>
                <w:ilvl w:val="0"/>
                <w:numId w:val="22"/>
              </w:numPr>
              <w:jc w:val="left"/>
            </w:pPr>
            <w:r w:rsidRPr="00501AA9">
              <w:t>požadavek na vyšší rezervovanou kapacitu odběru elektrické energie v letním období</w:t>
            </w:r>
          </w:p>
          <w:p w:rsidR="00501AA9" w:rsidRPr="00501AA9" w:rsidRDefault="00501AA9" w:rsidP="00501AA9">
            <w:pPr>
              <w:pStyle w:val="Odstavecseseznamem"/>
              <w:numPr>
                <w:ilvl w:val="0"/>
                <w:numId w:val="22"/>
              </w:numPr>
              <w:jc w:val="left"/>
            </w:pPr>
            <w:r w:rsidRPr="00501AA9">
              <w:t>menší množství absolutně vyrobené elektrické energie (provoz KGJ 3</w:t>
            </w:r>
            <w:r w:rsidR="00402561">
              <w:t> </w:t>
            </w:r>
            <w:r w:rsidRPr="00501AA9">
              <w:t>000 h místo 4</w:t>
            </w:r>
            <w:r w:rsidR="00402561">
              <w:t> </w:t>
            </w:r>
            <w:r w:rsidRPr="00501AA9">
              <w:t>400 h)</w:t>
            </w:r>
          </w:p>
          <w:p w:rsidR="00501AA9" w:rsidRPr="00501AA9" w:rsidRDefault="00501AA9" w:rsidP="00501AA9">
            <w:pPr>
              <w:pStyle w:val="Odstavecseseznamem"/>
              <w:numPr>
                <w:ilvl w:val="0"/>
                <w:numId w:val="22"/>
              </w:numPr>
              <w:jc w:val="left"/>
            </w:pPr>
            <w:r w:rsidRPr="00501AA9">
              <w:t>kratší životnost (vyšší poruchovost) zdroje chladu</w:t>
            </w:r>
          </w:p>
        </w:tc>
      </w:tr>
      <w:tr w:rsidR="0043544A" w:rsidTr="00501AA9">
        <w:tc>
          <w:tcPr>
            <w:tcW w:w="817" w:type="dxa"/>
            <w:vMerge w:val="restart"/>
            <w:textDirection w:val="btLr"/>
          </w:tcPr>
          <w:p w:rsidR="0043544A" w:rsidRPr="0043544A" w:rsidRDefault="0043544A" w:rsidP="00501AA9">
            <w:pPr>
              <w:ind w:left="113" w:right="113"/>
              <w:jc w:val="center"/>
              <w:rPr>
                <w:b/>
                <w:sz w:val="26"/>
                <w:szCs w:val="26"/>
              </w:rPr>
            </w:pPr>
            <w:r w:rsidRPr="0043544A">
              <w:rPr>
                <w:b/>
                <w:sz w:val="26"/>
                <w:szCs w:val="26"/>
              </w:rPr>
              <w:t>Externí faktory</w:t>
            </w:r>
          </w:p>
        </w:tc>
        <w:tc>
          <w:tcPr>
            <w:tcW w:w="6663" w:type="dxa"/>
            <w:shd w:val="clear" w:color="auto" w:fill="D6E3BC" w:themeFill="accent3" w:themeFillTint="66"/>
          </w:tcPr>
          <w:p w:rsidR="0043544A" w:rsidRPr="00501AA9" w:rsidRDefault="0043544A" w:rsidP="00501AA9">
            <w:pPr>
              <w:jc w:val="left"/>
              <w:rPr>
                <w:sz w:val="26"/>
                <w:szCs w:val="26"/>
              </w:rPr>
            </w:pPr>
            <w:r w:rsidRPr="00501AA9">
              <w:rPr>
                <w:sz w:val="26"/>
                <w:szCs w:val="26"/>
              </w:rPr>
              <w:t>Příležitosti (Opportunities)</w:t>
            </w:r>
          </w:p>
        </w:tc>
        <w:tc>
          <w:tcPr>
            <w:tcW w:w="6664" w:type="dxa"/>
            <w:shd w:val="clear" w:color="auto" w:fill="FBD4B4" w:themeFill="accent6" w:themeFillTint="66"/>
          </w:tcPr>
          <w:p w:rsidR="0043544A" w:rsidRPr="00501AA9" w:rsidRDefault="0043544A" w:rsidP="00501AA9">
            <w:pPr>
              <w:jc w:val="left"/>
              <w:rPr>
                <w:sz w:val="26"/>
                <w:szCs w:val="26"/>
              </w:rPr>
            </w:pPr>
            <w:r w:rsidRPr="00501AA9">
              <w:rPr>
                <w:sz w:val="26"/>
                <w:szCs w:val="26"/>
              </w:rPr>
              <w:t>Hrozby (Threats)</w:t>
            </w:r>
          </w:p>
        </w:tc>
      </w:tr>
      <w:tr w:rsidR="0043544A" w:rsidTr="00501AA9">
        <w:trPr>
          <w:trHeight w:val="3402"/>
        </w:trPr>
        <w:tc>
          <w:tcPr>
            <w:tcW w:w="817" w:type="dxa"/>
            <w:vMerge/>
          </w:tcPr>
          <w:p w:rsidR="0043544A" w:rsidRDefault="0043544A" w:rsidP="00501AA9"/>
        </w:tc>
        <w:tc>
          <w:tcPr>
            <w:tcW w:w="6663" w:type="dxa"/>
            <w:shd w:val="clear" w:color="auto" w:fill="D6E3BC" w:themeFill="accent3" w:themeFillTint="66"/>
          </w:tcPr>
          <w:p w:rsidR="0043544A" w:rsidRPr="00501AA9" w:rsidRDefault="0043544A" w:rsidP="00501AA9">
            <w:pPr>
              <w:pStyle w:val="Odstavecseseznamem"/>
              <w:numPr>
                <w:ilvl w:val="0"/>
                <w:numId w:val="23"/>
              </w:numPr>
              <w:jc w:val="left"/>
            </w:pPr>
            <w:r w:rsidRPr="00501AA9">
              <w:t>možnost využití podpory obnovitelných zdrojů energie (POZE) – pro obě varianty</w:t>
            </w:r>
          </w:p>
          <w:p w:rsidR="0043544A" w:rsidRPr="00501AA9" w:rsidRDefault="0043544A" w:rsidP="00501AA9">
            <w:pPr>
              <w:pStyle w:val="Odstavecseseznamem"/>
              <w:numPr>
                <w:ilvl w:val="0"/>
                <w:numId w:val="23"/>
              </w:numPr>
              <w:jc w:val="left"/>
            </w:pPr>
            <w:r w:rsidRPr="00501AA9">
              <w:t xml:space="preserve">kvalitnější vnitřní prostředí pro práci zaměstnanců ČNB (obecně chlazení) – pro obě varianty </w:t>
            </w:r>
          </w:p>
        </w:tc>
        <w:tc>
          <w:tcPr>
            <w:tcW w:w="6664" w:type="dxa"/>
            <w:shd w:val="clear" w:color="auto" w:fill="FBD4B4" w:themeFill="accent6" w:themeFillTint="66"/>
          </w:tcPr>
          <w:p w:rsidR="0043544A" w:rsidRPr="00501AA9" w:rsidRDefault="00C82319" w:rsidP="00501AA9">
            <w:pPr>
              <w:pStyle w:val="Odstavecseseznamem"/>
              <w:numPr>
                <w:ilvl w:val="0"/>
                <w:numId w:val="23"/>
              </w:numPr>
              <w:jc w:val="left"/>
            </w:pPr>
            <w:r>
              <w:t>emisní limity provozu KGJ</w:t>
            </w:r>
          </w:p>
          <w:p w:rsidR="0043544A" w:rsidRPr="00501AA9" w:rsidRDefault="0043544A" w:rsidP="00501AA9">
            <w:pPr>
              <w:pStyle w:val="Odstavecseseznamem"/>
              <w:numPr>
                <w:ilvl w:val="0"/>
                <w:numId w:val="23"/>
              </w:numPr>
              <w:jc w:val="left"/>
            </w:pPr>
            <w:r w:rsidRPr="00501AA9">
              <w:t>hlukové limity (</w:t>
            </w:r>
            <w:r w:rsidR="00501AA9" w:rsidRPr="00501AA9">
              <w:t>kompresorová chladicí jednotka</w:t>
            </w:r>
            <w:r w:rsidRPr="00501AA9">
              <w:t xml:space="preserve">) </w:t>
            </w:r>
          </w:p>
        </w:tc>
      </w:tr>
    </w:tbl>
    <w:p w:rsidR="0043544A" w:rsidRDefault="0043544A" w:rsidP="00370BDE">
      <w:pPr>
        <w:sectPr w:rsidR="0043544A" w:rsidSect="00F91C8B">
          <w:pgSz w:w="16838" w:h="11906" w:orient="landscape"/>
          <w:pgMar w:top="1417" w:right="1417" w:bottom="1417" w:left="1417" w:header="709" w:footer="709" w:gutter="0"/>
          <w:cols w:space="708"/>
          <w:docGrid w:linePitch="360"/>
        </w:sectPr>
      </w:pPr>
    </w:p>
    <w:p w:rsidR="00370BDE" w:rsidRDefault="00C92C19" w:rsidP="00C92C19">
      <w:pPr>
        <w:pStyle w:val="Nadpis1"/>
      </w:pPr>
      <w:bookmarkStart w:id="124" w:name="_Toc58949383"/>
      <w:r>
        <w:t>ZPŮSOB ZAJIŠTĚNÍ PROJEKTU</w:t>
      </w:r>
      <w:bookmarkEnd w:id="124"/>
    </w:p>
    <w:p w:rsidR="006A4F23" w:rsidRDefault="006A4F23" w:rsidP="006A4F23">
      <w:r>
        <w:t>Hlavní kritéria při výběru nejvhodnější varianty jsou následující:</w:t>
      </w:r>
    </w:p>
    <w:p w:rsidR="006A4F23" w:rsidRDefault="006A4F23" w:rsidP="006A4F23">
      <w:pPr>
        <w:pStyle w:val="Odstavecseseznamem"/>
        <w:numPr>
          <w:ilvl w:val="0"/>
          <w:numId w:val="24"/>
        </w:numPr>
      </w:pPr>
      <w:r>
        <w:t>kritérium prostor</w:t>
      </w:r>
      <w:r w:rsidR="002F70DA">
        <w:t>u (STOP</w:t>
      </w:r>
      <w:bookmarkStart w:id="125" w:name="_Ref56606361"/>
      <w:r w:rsidR="002F70DA">
        <w:rPr>
          <w:rStyle w:val="Znakapoznpodarou"/>
        </w:rPr>
        <w:footnoteReference w:id="5"/>
      </w:r>
      <w:bookmarkEnd w:id="125"/>
      <w:r w:rsidR="002F70DA">
        <w:t xml:space="preserve"> kritérium) – prostor pro umístění, prostor pro nastěhování</w:t>
      </w:r>
    </w:p>
    <w:p w:rsidR="002F70DA" w:rsidRDefault="002F70DA" w:rsidP="006A4F23">
      <w:pPr>
        <w:pStyle w:val="Odstavecseseznamem"/>
        <w:numPr>
          <w:ilvl w:val="0"/>
          <w:numId w:val="24"/>
        </w:numPr>
      </w:pPr>
      <w:r>
        <w:t>kritérium splnění emisních limitů (STOP</w:t>
      </w:r>
      <w:r w:rsidR="00AC3129" w:rsidRPr="00AC3129">
        <w:rPr>
          <w:vertAlign w:val="superscript"/>
        </w:rPr>
        <w:fldChar w:fldCharType="begin"/>
      </w:r>
      <w:r w:rsidR="00AC3129" w:rsidRPr="00AC3129">
        <w:rPr>
          <w:vertAlign w:val="superscript"/>
        </w:rPr>
        <w:instrText xml:space="preserve"> NOTEREF _Ref56606361 \h </w:instrText>
      </w:r>
      <w:r w:rsidR="00AC3129">
        <w:rPr>
          <w:vertAlign w:val="superscript"/>
        </w:rPr>
        <w:instrText xml:space="preserve"> \* MERGEFORMAT </w:instrText>
      </w:r>
      <w:r w:rsidR="00AC3129" w:rsidRPr="00AC3129">
        <w:rPr>
          <w:vertAlign w:val="superscript"/>
        </w:rPr>
      </w:r>
      <w:r w:rsidR="00AC3129" w:rsidRPr="00AC3129">
        <w:rPr>
          <w:vertAlign w:val="superscript"/>
        </w:rPr>
        <w:fldChar w:fldCharType="separate"/>
      </w:r>
      <w:r w:rsidR="00816426">
        <w:rPr>
          <w:vertAlign w:val="superscript"/>
        </w:rPr>
        <w:t>5</w:t>
      </w:r>
      <w:r w:rsidR="00AC3129" w:rsidRPr="00AC3129">
        <w:rPr>
          <w:vertAlign w:val="superscript"/>
        </w:rPr>
        <w:fldChar w:fldCharType="end"/>
      </w:r>
      <w:r>
        <w:t xml:space="preserve"> kritérium) – emise NO</w:t>
      </w:r>
      <w:r w:rsidRPr="002F70DA">
        <w:rPr>
          <w:vertAlign w:val="subscript"/>
        </w:rPr>
        <w:t>X</w:t>
      </w:r>
      <w:r>
        <w:t xml:space="preserve"> kogenerační jednotky</w:t>
      </w:r>
    </w:p>
    <w:p w:rsidR="002F70DA" w:rsidRDefault="00F91781" w:rsidP="006A4F23">
      <w:pPr>
        <w:pStyle w:val="Odstavecseseznamem"/>
        <w:numPr>
          <w:ilvl w:val="0"/>
          <w:numId w:val="24"/>
        </w:numPr>
      </w:pPr>
      <w:r>
        <w:t>technologická kritéria</w:t>
      </w:r>
    </w:p>
    <w:p w:rsidR="0073448F" w:rsidRDefault="0073448F" w:rsidP="006A4F23">
      <w:pPr>
        <w:pStyle w:val="Odstavecseseznamem"/>
        <w:numPr>
          <w:ilvl w:val="0"/>
          <w:numId w:val="24"/>
        </w:numPr>
      </w:pPr>
      <w:r>
        <w:t>procesní a organizační kritéria – vyřízení záboru při stěhování jeřábem</w:t>
      </w:r>
    </w:p>
    <w:p w:rsidR="00BF0BE3" w:rsidRPr="006A4F23" w:rsidRDefault="00BF0BE3" w:rsidP="006A4F23">
      <w:pPr>
        <w:pStyle w:val="Odstavecseseznamem"/>
        <w:numPr>
          <w:ilvl w:val="0"/>
          <w:numId w:val="24"/>
        </w:numPr>
      </w:pPr>
      <w:r>
        <w:t>finanční kritérium – bude předmětem finanční analýzy</w:t>
      </w:r>
      <w:r w:rsidR="009E030A">
        <w:t xml:space="preserve"> (dále)</w:t>
      </w:r>
    </w:p>
    <w:p w:rsidR="009E030A" w:rsidRDefault="009E030A" w:rsidP="009E030A">
      <w:pPr>
        <w:pStyle w:val="Nadpis2"/>
      </w:pPr>
      <w:bookmarkStart w:id="126" w:name="_Toc58949384"/>
      <w:r>
        <w:t>Varianta B</w:t>
      </w:r>
      <w:r w:rsidR="00914F1B">
        <w:t xml:space="preserve"> – KGJ + bloková chladicí jednotka</w:t>
      </w:r>
      <w:bookmarkEnd w:id="126"/>
    </w:p>
    <w:p w:rsidR="009E030A" w:rsidRDefault="009E030A" w:rsidP="009E030A">
      <w:r>
        <w:t xml:space="preserve">V případě této varianty se počítá s dopravou chladicího zařízení </w:t>
      </w:r>
      <w:r w:rsidR="00A11DD4">
        <w:t>jeřábem. Jedná se o jednotku, s jejímž budoucím umístěním bylo počítáno již při rekonstrukce zdroje chladu 2 (rok 2015). Vyřízení záboru na ulici Na Příkopě bude složitější v tom, že si vyžádá delší časové období (2–3 měsíce), ale mělo by být realizovatelné.</w:t>
      </w:r>
      <w:r w:rsidR="00F86679">
        <w:t xml:space="preserve"> Pro aktuální zmapování situace ohledně záborů a možnosti dopravy energetických celků na území hl. m. Prahy, je přiložen v kap. </w:t>
      </w:r>
      <w:r w:rsidR="00F86679">
        <w:fldChar w:fldCharType="begin"/>
      </w:r>
      <w:r w:rsidR="00F86679">
        <w:instrText xml:space="preserve"> REF _Ref58946772 \r \h </w:instrText>
      </w:r>
      <w:r w:rsidR="00F86679">
        <w:fldChar w:fldCharType="separate"/>
      </w:r>
      <w:r w:rsidR="00816426">
        <w:t>14.2</w:t>
      </w:r>
      <w:r w:rsidR="00F86679">
        <w:fldChar w:fldCharType="end"/>
      </w:r>
      <w:r w:rsidR="00F86679">
        <w:t xml:space="preserve"> kontakt na pana Švába (</w:t>
      </w:r>
      <w:r w:rsidR="00F86679" w:rsidRPr="00F259F5">
        <w:t>ENERGOSERVIS ŠVAMONT,</w:t>
      </w:r>
      <w:r w:rsidR="00F86679">
        <w:t xml:space="preserve"> </w:t>
      </w:r>
      <w:r w:rsidR="00F86679" w:rsidRPr="00F259F5">
        <w:t>spol.</w:t>
      </w:r>
      <w:r w:rsidR="00F86679">
        <w:t xml:space="preserve"> </w:t>
      </w:r>
      <w:r w:rsidR="00F86679" w:rsidRPr="00F259F5">
        <w:t>s.</w:t>
      </w:r>
      <w:r w:rsidR="00F86679">
        <w:t xml:space="preserve"> </w:t>
      </w:r>
      <w:r w:rsidR="00F86679" w:rsidRPr="00F259F5">
        <w:t>r.</w:t>
      </w:r>
      <w:r w:rsidR="00F86679">
        <w:t xml:space="preserve"> </w:t>
      </w:r>
      <w:r w:rsidR="00F86679" w:rsidRPr="00F259F5">
        <w:t>o</w:t>
      </w:r>
      <w:r w:rsidR="00F86679">
        <w:t>).</w:t>
      </w:r>
    </w:p>
    <w:p w:rsidR="00A11DD4" w:rsidRDefault="000111FE" w:rsidP="009E030A">
      <w:r>
        <w:t xml:space="preserve">Doprava kogenerační jednotky je ztížena rozměry montážního otvoru. Kogenerační jednotku nelze stěhovat vcelku. Je však možné ji rozdělit na menší části a dopravit po částech (motor, generátor, rám, ostatní příslušenství). Takto je možné tyto části dopravit do kotelny 3S302B.   </w:t>
      </w:r>
    </w:p>
    <w:p w:rsidR="00020CAF" w:rsidRDefault="00020CAF" w:rsidP="00020CAF">
      <w:pPr>
        <w:pStyle w:val="Nadpis1"/>
      </w:pPr>
      <w:bookmarkStart w:id="127" w:name="_Toc58949385"/>
      <w:r>
        <w:t>ZAJIŠTĚNÍ INVESTIČNÍHO (DLOUHODOBÉHO) MAJETKU</w:t>
      </w:r>
      <w:bookmarkEnd w:id="127"/>
    </w:p>
    <w:p w:rsidR="0000046F" w:rsidRDefault="00C320FF" w:rsidP="0000046F">
      <w:r>
        <w:t xml:space="preserve">Investice </w:t>
      </w:r>
      <w:r w:rsidR="00B57849">
        <w:t xml:space="preserve">bude financována z vlastních zdrojů investora. Odpisování majetku bude probíhat v případě zařízení technologie po dobu životnosti technologie. Potrubní rozvody budou odpisovány v průběhu </w:t>
      </w:r>
      <w:r w:rsidR="0000046F">
        <w:t>20 let.</w:t>
      </w:r>
      <w:r w:rsidR="00B57849">
        <w:t xml:space="preserve"> </w:t>
      </w:r>
    </w:p>
    <w:p w:rsidR="00D94FCC" w:rsidRDefault="00D94FCC" w:rsidP="00D94FCC">
      <w:pPr>
        <w:pStyle w:val="Nadpis2"/>
      </w:pPr>
      <w:bookmarkStart w:id="128" w:name="_Toc58949386"/>
      <w:r>
        <w:t>Varianta B</w:t>
      </w:r>
      <w:r w:rsidR="00914F1B">
        <w:t xml:space="preserve"> – KGJ + bloková chladicí jednotka</w:t>
      </w:r>
      <w:bookmarkEnd w:id="128"/>
    </w:p>
    <w:p w:rsidR="0011209F" w:rsidRDefault="005C55D6" w:rsidP="005C55D6">
      <w:r>
        <w:t>U varianty B je počítáno s provozem kogenerační jednotky po dobu 3</w:t>
      </w:r>
      <w:r w:rsidR="00402561">
        <w:t> </w:t>
      </w:r>
      <w:r>
        <w:t>000 h ročně. Životnost kogenerační jednotky tak vychází přibližně 26 let. V polovině životnosti kogenerační jednotky se počítá se znovupořízením kompresorových chladicích jednotek (uvažovaná životnost 13 let).</w:t>
      </w:r>
      <w:r w:rsidR="0011209F">
        <w:t xml:space="preserve"> Počítá se také s vybudováním distribuční soustavy chlazení.</w:t>
      </w:r>
    </w:p>
    <w:p w:rsidR="005C55D6" w:rsidRDefault="0011209F" w:rsidP="005C55D6">
      <w:r>
        <w:t xml:space="preserve">Celková investovaná částka vč. vedlejších rozpočtových nákladů (2 % z investice), rozpočtové rezervy (3 % z investice), znovupořízení kompresorové chladicí jednotky a generální opravy KGJ (1,47 mil. Kč bez DPH) činí přibližně </w:t>
      </w:r>
      <w:r w:rsidR="006330B2">
        <w:rPr>
          <w:b/>
        </w:rPr>
        <w:t>82,8</w:t>
      </w:r>
      <w:r w:rsidRPr="0011209F">
        <w:rPr>
          <w:b/>
        </w:rPr>
        <w:t> mil. Kč bez DPH</w:t>
      </w:r>
      <w:r>
        <w:t xml:space="preserve">. Částka investovaná na začátku projektu (při uskutečnění projektu v celém rozsahu) činí </w:t>
      </w:r>
      <w:r w:rsidR="006330B2">
        <w:rPr>
          <w:b/>
        </w:rPr>
        <w:t>73,7</w:t>
      </w:r>
      <w:r w:rsidRPr="0011209F">
        <w:rPr>
          <w:b/>
        </w:rPr>
        <w:t> mil. Kč bez DPH</w:t>
      </w:r>
      <w:r>
        <w:t>.</w:t>
      </w:r>
    </w:p>
    <w:p w:rsidR="004F7BD8" w:rsidRDefault="004F7BD8" w:rsidP="0011209F">
      <w:pPr>
        <w:pStyle w:val="Nadpis3"/>
      </w:pPr>
      <w:bookmarkStart w:id="129" w:name="_Toc58949387"/>
      <w:r>
        <w:t>Investiční náklady</w:t>
      </w:r>
      <w:bookmarkEnd w:id="129"/>
    </w:p>
    <w:p w:rsidR="00F15DC5" w:rsidRDefault="004F7BD8" w:rsidP="0011209F">
      <w:pPr>
        <w:keepNext/>
      </w:pPr>
      <w:r>
        <w:t>Investiční náklady související s kogenerační jednotkou pro variantu B jsou shrnuty v</w:t>
      </w:r>
      <w:r w:rsidR="00604CFB">
        <w:t xml:space="preserve"> </w:t>
      </w:r>
      <w:r w:rsidR="00973B98">
        <w:fldChar w:fldCharType="begin"/>
      </w:r>
      <w:r w:rsidR="00973B98">
        <w:instrText xml:space="preserve"> REF _Ref56804862 \h </w:instrText>
      </w:r>
      <w:r w:rsidR="00973B98">
        <w:fldChar w:fldCharType="separate"/>
      </w:r>
      <w:r w:rsidR="00816426">
        <w:t xml:space="preserve">Tab. </w:t>
      </w:r>
      <w:r w:rsidR="00816426">
        <w:rPr>
          <w:noProof/>
        </w:rPr>
        <w:t>23</w:t>
      </w:r>
      <w:r w:rsidR="00973B98">
        <w:fldChar w:fldCharType="end"/>
      </w:r>
      <w:r>
        <w:t>.</w:t>
      </w:r>
      <w:r w:rsidR="00F15DC5">
        <w:t xml:space="preserve"> </w:t>
      </w:r>
    </w:p>
    <w:p w:rsidR="00604CFB" w:rsidRDefault="00604CFB" w:rsidP="004740CB">
      <w:pPr>
        <w:pStyle w:val="Tabulka"/>
        <w:spacing w:before="120"/>
      </w:pPr>
      <w:bookmarkStart w:id="130" w:name="_Ref56617263"/>
      <w:bookmarkStart w:id="131" w:name="_Ref56804862"/>
      <w:r>
        <w:t xml:space="preserve">Tab. </w:t>
      </w:r>
      <w:fldSimple w:instr=" SEQ Tab. \* ARABIC ">
        <w:r w:rsidR="00816426">
          <w:rPr>
            <w:noProof/>
          </w:rPr>
          <w:t>23</w:t>
        </w:r>
      </w:fldSimple>
      <w:bookmarkEnd w:id="130"/>
      <w:bookmarkEnd w:id="131"/>
      <w:r>
        <w:t xml:space="preserve"> Investiční náklady – Varianta B – kogenerační jednotka</w:t>
      </w:r>
    </w:p>
    <w:tbl>
      <w:tblPr>
        <w:tblW w:w="8420" w:type="dxa"/>
        <w:tblInd w:w="70" w:type="dxa"/>
        <w:tblCellMar>
          <w:left w:w="70" w:type="dxa"/>
          <w:right w:w="70" w:type="dxa"/>
        </w:tblCellMar>
        <w:tblLook w:val="04A0" w:firstRow="1" w:lastRow="0" w:firstColumn="1" w:lastColumn="0" w:noHBand="0" w:noVBand="1"/>
      </w:tblPr>
      <w:tblGrid>
        <w:gridCol w:w="4180"/>
        <w:gridCol w:w="1280"/>
        <w:gridCol w:w="1360"/>
        <w:gridCol w:w="1600"/>
      </w:tblGrid>
      <w:tr w:rsidR="006319E7" w:rsidRPr="006319E7" w:rsidTr="006319E7">
        <w:trPr>
          <w:trHeight w:val="315"/>
        </w:trPr>
        <w:tc>
          <w:tcPr>
            <w:tcW w:w="4180" w:type="dxa"/>
            <w:tcBorders>
              <w:top w:val="nil"/>
              <w:left w:val="nil"/>
              <w:bottom w:val="nil"/>
              <w:right w:val="nil"/>
            </w:tcBorders>
            <w:shd w:val="clear" w:color="auto" w:fill="auto"/>
            <w:vAlign w:val="center"/>
            <w:hideMark/>
          </w:tcPr>
          <w:p w:rsidR="006319E7" w:rsidRPr="006319E7" w:rsidRDefault="006319E7" w:rsidP="006319E7">
            <w:pPr>
              <w:spacing w:before="0" w:after="0" w:line="240" w:lineRule="auto"/>
              <w:jc w:val="left"/>
              <w:rPr>
                <w:rFonts w:ascii="Calibri" w:eastAsia="Times New Roman" w:hAnsi="Calibri" w:cs="Calibri"/>
                <w:b/>
                <w:bCs/>
                <w:color w:val="000000"/>
                <w:lang w:eastAsia="cs-CZ"/>
              </w:rPr>
            </w:pPr>
            <w:r w:rsidRPr="006319E7">
              <w:rPr>
                <w:rFonts w:ascii="Calibri" w:eastAsia="Times New Roman" w:hAnsi="Calibri" w:cs="Calibri"/>
                <w:b/>
                <w:bCs/>
                <w:color w:val="000000"/>
                <w:lang w:eastAsia="cs-CZ"/>
              </w:rPr>
              <w:t>Kogenerační jednotka</w:t>
            </w:r>
          </w:p>
        </w:tc>
        <w:tc>
          <w:tcPr>
            <w:tcW w:w="128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Četnost</w:t>
            </w:r>
          </w:p>
        </w:tc>
        <w:tc>
          <w:tcPr>
            <w:tcW w:w="1360" w:type="dxa"/>
            <w:tcBorders>
              <w:top w:val="nil"/>
              <w:left w:val="nil"/>
              <w:bottom w:val="nil"/>
              <w:right w:val="nil"/>
            </w:tcBorders>
            <w:shd w:val="clear" w:color="auto" w:fill="auto"/>
            <w:noWrap/>
            <w:vAlign w:val="bottom"/>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Jednotka</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Cena (bez DPH)</w:t>
            </w:r>
          </w:p>
        </w:tc>
      </w:tr>
      <w:tr w:rsidR="006319E7" w:rsidRPr="006319E7" w:rsidTr="006319E7">
        <w:trPr>
          <w:trHeight w:val="300"/>
        </w:trPr>
        <w:tc>
          <w:tcPr>
            <w:tcW w:w="4180" w:type="dxa"/>
            <w:tcBorders>
              <w:top w:val="single" w:sz="8" w:space="0" w:color="auto"/>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Demontáž stávajících kotlů, vč. napojení</w:t>
            </w:r>
          </w:p>
        </w:tc>
        <w:tc>
          <w:tcPr>
            <w:tcW w:w="1280" w:type="dxa"/>
            <w:tcBorders>
              <w:top w:val="single" w:sz="8" w:space="0" w:color="auto"/>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single" w:sz="8" w:space="0" w:color="auto"/>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single" w:sz="8" w:space="0" w:color="auto"/>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600 000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Pořizovací cena KGJ</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4 500 000</w:t>
            </w:r>
          </w:p>
        </w:tc>
      </w:tr>
      <w:tr w:rsidR="006319E7" w:rsidRPr="006319E7" w:rsidTr="006319E7">
        <w:trPr>
          <w:trHeight w:val="6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Doprava KGJ (nevyloženo z dopravního prostředku)</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50 000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Demontáž a montáž KGJ přímo na místě</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500 000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 xml:space="preserve">Montáž KGJ, vč. napojení </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500 000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Vyvedení elektrického výkonu</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300 000</w:t>
            </w:r>
          </w:p>
        </w:tc>
      </w:tr>
      <w:tr w:rsidR="006319E7" w:rsidRPr="006319E7" w:rsidTr="006319E7">
        <w:trPr>
          <w:trHeight w:val="6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Potrubí, čerpadla, ventily - kotelna, strojovna</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750 000</w:t>
            </w:r>
          </w:p>
        </w:tc>
      </w:tr>
      <w:tr w:rsidR="006319E7" w:rsidRPr="006319E7" w:rsidTr="006319E7">
        <w:trPr>
          <w:trHeight w:val="345"/>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Sanace stávajících akumulačních zásobníků</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300 000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Montáž v kotelně, strojovně</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lang w:eastAsia="cs-CZ"/>
              </w:rPr>
            </w:pPr>
            <w:r w:rsidRPr="006319E7">
              <w:rPr>
                <w:rFonts w:ascii="Calibri" w:eastAsia="Times New Roman" w:hAnsi="Calibri" w:cs="Calibri"/>
                <w:lang w:eastAsia="cs-CZ"/>
              </w:rPr>
              <w:t>1 500 000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Úprava systému VZT</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750 000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Odkouření - dodávka + montáž</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700 000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Stavební úpravy - kotelna</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500 000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Systém MaR</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600 000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Průběžný monitoring provozu KGJ</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400 000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Zprovoznění, zaškolení obsluhy kupujícího</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30 000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Technický dozor investora</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150 000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Inženýrská činnost</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200 000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Dokumentace studie proveditelnosti</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94 500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Dokumentace pro stavební povolení</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400 000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 xml:space="preserve">Dokumentace pro provedení stavby </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400 000</w:t>
            </w:r>
          </w:p>
        </w:tc>
      </w:tr>
      <w:tr w:rsidR="006319E7" w:rsidRPr="006319E7" w:rsidTr="006319E7">
        <w:trPr>
          <w:trHeight w:val="615"/>
        </w:trPr>
        <w:tc>
          <w:tcPr>
            <w:tcW w:w="4180" w:type="dxa"/>
            <w:tcBorders>
              <w:top w:val="nil"/>
              <w:left w:val="nil"/>
              <w:bottom w:val="single" w:sz="8" w:space="0" w:color="auto"/>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Projektová dokumentace skutečného provedení</w:t>
            </w:r>
          </w:p>
        </w:tc>
        <w:tc>
          <w:tcPr>
            <w:tcW w:w="1280" w:type="dxa"/>
            <w:tcBorders>
              <w:top w:val="nil"/>
              <w:left w:val="nil"/>
              <w:bottom w:val="single" w:sz="8" w:space="0" w:color="auto"/>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single" w:sz="8" w:space="0" w:color="auto"/>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single" w:sz="8" w:space="0" w:color="auto"/>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100 000</w:t>
            </w:r>
          </w:p>
        </w:tc>
      </w:tr>
      <w:tr w:rsidR="006319E7" w:rsidRPr="006319E7" w:rsidTr="006319E7">
        <w:trPr>
          <w:trHeight w:val="300"/>
        </w:trPr>
        <w:tc>
          <w:tcPr>
            <w:tcW w:w="4180" w:type="dxa"/>
            <w:tcBorders>
              <w:top w:val="nil"/>
              <w:left w:val="nil"/>
              <w:bottom w:val="nil"/>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Vedlejší rozpočtové náklady (2 %)</w:t>
            </w:r>
          </w:p>
        </w:tc>
        <w:tc>
          <w:tcPr>
            <w:tcW w:w="128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266 490</w:t>
            </w:r>
          </w:p>
        </w:tc>
      </w:tr>
      <w:tr w:rsidR="006319E7" w:rsidRPr="006319E7" w:rsidTr="006319E7">
        <w:trPr>
          <w:trHeight w:val="315"/>
        </w:trPr>
        <w:tc>
          <w:tcPr>
            <w:tcW w:w="4180" w:type="dxa"/>
            <w:tcBorders>
              <w:top w:val="nil"/>
              <w:left w:val="nil"/>
              <w:bottom w:val="single" w:sz="8" w:space="0" w:color="auto"/>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Rozpočtová rezerva (3 %)</w:t>
            </w:r>
          </w:p>
        </w:tc>
        <w:tc>
          <w:tcPr>
            <w:tcW w:w="1280" w:type="dxa"/>
            <w:tcBorders>
              <w:top w:val="nil"/>
              <w:left w:val="nil"/>
              <w:bottom w:val="single" w:sz="8" w:space="0" w:color="auto"/>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color w:val="000000"/>
                <w:lang w:eastAsia="cs-CZ"/>
              </w:rPr>
            </w:pPr>
            <w:r w:rsidRPr="006319E7">
              <w:rPr>
                <w:rFonts w:ascii="Calibri" w:eastAsia="Times New Roman" w:hAnsi="Calibri" w:cs="Calibri"/>
                <w:color w:val="000000"/>
                <w:lang w:eastAsia="cs-CZ"/>
              </w:rPr>
              <w:t>jednorázově</w:t>
            </w:r>
          </w:p>
        </w:tc>
        <w:tc>
          <w:tcPr>
            <w:tcW w:w="1360" w:type="dxa"/>
            <w:tcBorders>
              <w:top w:val="nil"/>
              <w:left w:val="nil"/>
              <w:bottom w:val="single" w:sz="8" w:space="0" w:color="auto"/>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color w:val="000000"/>
                <w:lang w:eastAsia="cs-CZ"/>
              </w:rPr>
            </w:pPr>
            <w:r w:rsidRPr="006319E7">
              <w:rPr>
                <w:rFonts w:ascii="Calibri" w:eastAsia="Times New Roman" w:hAnsi="Calibri" w:cs="Calibri"/>
                <w:color w:val="000000"/>
                <w:lang w:eastAsia="cs-CZ"/>
              </w:rPr>
              <w:t>[Kč]</w:t>
            </w:r>
          </w:p>
        </w:tc>
        <w:tc>
          <w:tcPr>
            <w:tcW w:w="1600" w:type="dxa"/>
            <w:tcBorders>
              <w:top w:val="nil"/>
              <w:left w:val="nil"/>
              <w:bottom w:val="single" w:sz="8" w:space="0" w:color="auto"/>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color w:val="000000"/>
                <w:lang w:eastAsia="cs-CZ"/>
              </w:rPr>
            </w:pPr>
            <w:r w:rsidRPr="006319E7">
              <w:rPr>
                <w:rFonts w:ascii="Calibri" w:eastAsia="Times New Roman" w:hAnsi="Calibri" w:cs="Calibri"/>
                <w:color w:val="000000"/>
                <w:lang w:eastAsia="cs-CZ"/>
              </w:rPr>
              <w:t>399 735</w:t>
            </w:r>
          </w:p>
        </w:tc>
      </w:tr>
      <w:tr w:rsidR="006319E7" w:rsidRPr="006319E7" w:rsidTr="006319E7">
        <w:trPr>
          <w:trHeight w:val="315"/>
        </w:trPr>
        <w:tc>
          <w:tcPr>
            <w:tcW w:w="4180" w:type="dxa"/>
            <w:tcBorders>
              <w:top w:val="single" w:sz="8" w:space="0" w:color="auto"/>
              <w:left w:val="nil"/>
              <w:bottom w:val="single" w:sz="8" w:space="0" w:color="auto"/>
              <w:right w:val="nil"/>
            </w:tcBorders>
            <w:shd w:val="clear" w:color="000000" w:fill="E2EFDA"/>
            <w:vAlign w:val="center"/>
            <w:hideMark/>
          </w:tcPr>
          <w:p w:rsidR="006319E7" w:rsidRPr="006319E7" w:rsidRDefault="006319E7" w:rsidP="006319E7">
            <w:pPr>
              <w:spacing w:before="0" w:after="0" w:line="240" w:lineRule="auto"/>
              <w:jc w:val="left"/>
              <w:rPr>
                <w:rFonts w:ascii="Calibri" w:eastAsia="Times New Roman" w:hAnsi="Calibri" w:cs="Calibri"/>
                <w:b/>
                <w:bCs/>
                <w:color w:val="000000"/>
                <w:lang w:eastAsia="cs-CZ"/>
              </w:rPr>
            </w:pPr>
            <w:r w:rsidRPr="006319E7">
              <w:rPr>
                <w:rFonts w:ascii="Calibri" w:eastAsia="Times New Roman" w:hAnsi="Calibri" w:cs="Calibri"/>
                <w:b/>
                <w:bCs/>
                <w:color w:val="000000"/>
                <w:lang w:eastAsia="cs-CZ"/>
              </w:rPr>
              <w:t>Celkem</w:t>
            </w:r>
          </w:p>
        </w:tc>
        <w:tc>
          <w:tcPr>
            <w:tcW w:w="1280" w:type="dxa"/>
            <w:tcBorders>
              <w:top w:val="single" w:sz="8" w:space="0" w:color="auto"/>
              <w:left w:val="nil"/>
              <w:bottom w:val="single" w:sz="8" w:space="0" w:color="auto"/>
              <w:right w:val="nil"/>
            </w:tcBorders>
            <w:shd w:val="clear" w:color="000000" w:fill="E2EFDA"/>
            <w:noWrap/>
            <w:vAlign w:val="center"/>
            <w:hideMark/>
          </w:tcPr>
          <w:p w:rsidR="006319E7" w:rsidRPr="006319E7" w:rsidRDefault="006319E7" w:rsidP="006319E7">
            <w:pPr>
              <w:spacing w:before="0" w:after="0" w:line="240" w:lineRule="auto"/>
              <w:jc w:val="left"/>
              <w:rPr>
                <w:rFonts w:ascii="Calibri" w:eastAsia="Times New Roman" w:hAnsi="Calibri" w:cs="Calibri"/>
                <w:b/>
                <w:bCs/>
                <w:color w:val="000000"/>
                <w:lang w:eastAsia="cs-CZ"/>
              </w:rPr>
            </w:pPr>
            <w:r w:rsidRPr="006319E7">
              <w:rPr>
                <w:rFonts w:ascii="Calibri" w:eastAsia="Times New Roman" w:hAnsi="Calibri" w:cs="Calibri"/>
                <w:b/>
                <w:bCs/>
                <w:color w:val="000000"/>
                <w:lang w:eastAsia="cs-CZ"/>
              </w:rPr>
              <w:t>jednorázově</w:t>
            </w:r>
          </w:p>
        </w:tc>
        <w:tc>
          <w:tcPr>
            <w:tcW w:w="1360" w:type="dxa"/>
            <w:tcBorders>
              <w:top w:val="single" w:sz="8" w:space="0" w:color="auto"/>
              <w:left w:val="nil"/>
              <w:bottom w:val="single" w:sz="8" w:space="0" w:color="auto"/>
              <w:right w:val="nil"/>
            </w:tcBorders>
            <w:shd w:val="clear" w:color="000000" w:fill="E2EFDA"/>
            <w:noWrap/>
            <w:vAlign w:val="center"/>
            <w:hideMark/>
          </w:tcPr>
          <w:p w:rsidR="006319E7" w:rsidRPr="006319E7" w:rsidRDefault="006319E7" w:rsidP="006319E7">
            <w:pPr>
              <w:spacing w:before="0" w:after="0" w:line="240" w:lineRule="auto"/>
              <w:jc w:val="center"/>
              <w:rPr>
                <w:rFonts w:ascii="Calibri" w:eastAsia="Times New Roman" w:hAnsi="Calibri" w:cs="Calibri"/>
                <w:b/>
                <w:bCs/>
                <w:color w:val="000000"/>
                <w:lang w:eastAsia="cs-CZ"/>
              </w:rPr>
            </w:pPr>
            <w:r w:rsidRPr="006319E7">
              <w:rPr>
                <w:rFonts w:ascii="Calibri" w:eastAsia="Times New Roman" w:hAnsi="Calibri" w:cs="Calibri"/>
                <w:b/>
                <w:bCs/>
                <w:color w:val="000000"/>
                <w:lang w:eastAsia="cs-CZ"/>
              </w:rPr>
              <w:t>[Kč]</w:t>
            </w:r>
          </w:p>
        </w:tc>
        <w:tc>
          <w:tcPr>
            <w:tcW w:w="1600" w:type="dxa"/>
            <w:tcBorders>
              <w:top w:val="single" w:sz="8" w:space="0" w:color="auto"/>
              <w:left w:val="nil"/>
              <w:bottom w:val="single" w:sz="8" w:space="0" w:color="auto"/>
              <w:right w:val="nil"/>
            </w:tcBorders>
            <w:shd w:val="clear" w:color="auto" w:fill="auto"/>
            <w:noWrap/>
            <w:vAlign w:val="center"/>
            <w:hideMark/>
          </w:tcPr>
          <w:p w:rsidR="006319E7" w:rsidRPr="006319E7" w:rsidRDefault="006319E7" w:rsidP="006319E7">
            <w:pPr>
              <w:spacing w:before="0" w:after="0" w:line="240" w:lineRule="auto"/>
              <w:jc w:val="right"/>
              <w:rPr>
                <w:rFonts w:ascii="Calibri" w:eastAsia="Times New Roman" w:hAnsi="Calibri" w:cs="Calibri"/>
                <w:b/>
                <w:bCs/>
                <w:color w:val="000000"/>
                <w:lang w:eastAsia="cs-CZ"/>
              </w:rPr>
            </w:pPr>
            <w:r w:rsidRPr="006319E7">
              <w:rPr>
                <w:rFonts w:ascii="Calibri" w:eastAsia="Times New Roman" w:hAnsi="Calibri" w:cs="Calibri"/>
                <w:b/>
                <w:bCs/>
                <w:color w:val="000000"/>
                <w:lang w:eastAsia="cs-CZ"/>
              </w:rPr>
              <w:t>13 990 725</w:t>
            </w:r>
          </w:p>
        </w:tc>
      </w:tr>
    </w:tbl>
    <w:p w:rsidR="00EC15CA" w:rsidRDefault="00604CFB" w:rsidP="00B77605">
      <w:pPr>
        <w:keepNext/>
      </w:pPr>
      <w:r>
        <w:t xml:space="preserve">Investiční náklady související s kompresorovým chlazením pro variantu B jsou shrnuty v </w:t>
      </w:r>
      <w:r>
        <w:fldChar w:fldCharType="begin"/>
      </w:r>
      <w:r>
        <w:instrText xml:space="preserve"> REF _Ref56617406 \h </w:instrText>
      </w:r>
      <w:r>
        <w:fldChar w:fldCharType="separate"/>
      </w:r>
      <w:r w:rsidR="00816426">
        <w:t xml:space="preserve">Tab. </w:t>
      </w:r>
      <w:r w:rsidR="00816426">
        <w:rPr>
          <w:noProof/>
        </w:rPr>
        <w:t>24</w:t>
      </w:r>
      <w:r>
        <w:fldChar w:fldCharType="end"/>
      </w:r>
      <w:r>
        <w:t>. Počítá se zaplacením těchto nákladů během hodnocení projektu dvakrát.</w:t>
      </w:r>
    </w:p>
    <w:p w:rsidR="00604CFB" w:rsidRDefault="00604CFB" w:rsidP="006033D7">
      <w:pPr>
        <w:pStyle w:val="Tabulka"/>
      </w:pPr>
      <w:bookmarkStart w:id="132" w:name="_Ref56617406"/>
      <w:r>
        <w:t xml:space="preserve">Tab. </w:t>
      </w:r>
      <w:fldSimple w:instr=" SEQ Tab. \* ARABIC ">
        <w:r w:rsidR="00816426">
          <w:rPr>
            <w:noProof/>
          </w:rPr>
          <w:t>24</w:t>
        </w:r>
      </w:fldSimple>
      <w:bookmarkEnd w:id="132"/>
      <w:r>
        <w:t xml:space="preserve"> Investiční náklady – Varianta B – kompresorové chlazení</w:t>
      </w:r>
    </w:p>
    <w:tbl>
      <w:tblPr>
        <w:tblW w:w="8420" w:type="dxa"/>
        <w:tblInd w:w="70" w:type="dxa"/>
        <w:tblCellMar>
          <w:left w:w="70" w:type="dxa"/>
          <w:right w:w="70" w:type="dxa"/>
        </w:tblCellMar>
        <w:tblLook w:val="04A0" w:firstRow="1" w:lastRow="0" w:firstColumn="1" w:lastColumn="0" w:noHBand="0" w:noVBand="1"/>
      </w:tblPr>
      <w:tblGrid>
        <w:gridCol w:w="4180"/>
        <w:gridCol w:w="1280"/>
        <w:gridCol w:w="1360"/>
        <w:gridCol w:w="1600"/>
      </w:tblGrid>
      <w:tr w:rsidR="006033D7" w:rsidRPr="006033D7" w:rsidTr="006033D7">
        <w:trPr>
          <w:trHeight w:val="300"/>
        </w:trPr>
        <w:tc>
          <w:tcPr>
            <w:tcW w:w="4180" w:type="dxa"/>
            <w:tcBorders>
              <w:top w:val="nil"/>
              <w:left w:val="nil"/>
              <w:bottom w:val="nil"/>
              <w:right w:val="nil"/>
            </w:tcBorders>
            <w:shd w:val="clear" w:color="auto" w:fill="auto"/>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Kompresorové chlazení (zdroj)</w:t>
            </w:r>
          </w:p>
        </w:tc>
        <w:tc>
          <w:tcPr>
            <w:tcW w:w="128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Četnost</w:t>
            </w:r>
          </w:p>
        </w:tc>
        <w:tc>
          <w:tcPr>
            <w:tcW w:w="136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Jednotka</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Cena (bez DPH)</w:t>
            </w:r>
          </w:p>
        </w:tc>
      </w:tr>
      <w:tr w:rsidR="006033D7" w:rsidRPr="006033D7" w:rsidTr="006033D7">
        <w:trPr>
          <w:trHeight w:val="600"/>
        </w:trPr>
        <w:tc>
          <w:tcPr>
            <w:tcW w:w="4180" w:type="dxa"/>
            <w:tcBorders>
              <w:top w:val="single" w:sz="8" w:space="0" w:color="auto"/>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Pořizovací cena kompresorového chlazení, vč. příslušenství</w:t>
            </w:r>
          </w:p>
        </w:tc>
        <w:tc>
          <w:tcPr>
            <w:tcW w:w="1280" w:type="dxa"/>
            <w:tcBorders>
              <w:top w:val="single" w:sz="8" w:space="0" w:color="auto"/>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single" w:sz="8" w:space="0" w:color="auto"/>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single" w:sz="8" w:space="0" w:color="auto"/>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2 500 000</w:t>
            </w:r>
          </w:p>
        </w:tc>
      </w:tr>
      <w:tr w:rsidR="006033D7" w:rsidRPr="006033D7" w:rsidTr="006033D7">
        <w:trPr>
          <w:trHeight w:val="6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Doprava kompresorového chlazení (nevyloženo z dopravního prostředku)</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50 000</w:t>
            </w:r>
          </w:p>
        </w:tc>
      </w:tr>
      <w:tr w:rsidR="006033D7" w:rsidRPr="006033D7" w:rsidTr="006033D7">
        <w:trPr>
          <w:trHeight w:val="6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Doprava kompresorového chlazení na střechu (jeřáb)</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600 000</w:t>
            </w:r>
          </w:p>
        </w:tc>
      </w:tr>
      <w:tr w:rsidR="006033D7" w:rsidRPr="006033D7" w:rsidTr="006033D7">
        <w:trPr>
          <w:trHeight w:val="6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Uvedení kompresorového chlazení do provozu, náplň chladiva</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150 000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Potrubí, čerpadla, ventily - strojovna chladu</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800 000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Montáž - strojovna chladu</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600 000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Stavební práce vč. odhlučňovacích opatření</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500 000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Demontáž a montáž ocelové pergoly</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300 000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Systém MaR (zdroj chladu)</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400 000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Zprovoznění, zaškolení obsluhy kupujícího</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50 000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Autorský dozor</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150 000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Dokumentace studie proveditelnosti</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94 500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Dokumentace pro stavební povolení</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400 000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 xml:space="preserve">Dokumentace pro provedení stavby </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400 000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Projektová dokumentace skutečného provedení</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100 000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Inženýrská činnost</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200 000</w:t>
            </w:r>
          </w:p>
        </w:tc>
      </w:tr>
      <w:tr w:rsidR="006033D7" w:rsidRPr="006033D7" w:rsidTr="006033D7">
        <w:trPr>
          <w:trHeight w:val="300"/>
        </w:trPr>
        <w:tc>
          <w:tcPr>
            <w:tcW w:w="4180" w:type="dxa"/>
            <w:tcBorders>
              <w:top w:val="single" w:sz="8" w:space="0" w:color="auto"/>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Vedlejší rozpočtové náklady (2 %)</w:t>
            </w:r>
          </w:p>
        </w:tc>
        <w:tc>
          <w:tcPr>
            <w:tcW w:w="1280" w:type="dxa"/>
            <w:tcBorders>
              <w:top w:val="single" w:sz="8" w:space="0" w:color="auto"/>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jednorázově</w:t>
            </w:r>
          </w:p>
        </w:tc>
        <w:tc>
          <w:tcPr>
            <w:tcW w:w="1360" w:type="dxa"/>
            <w:tcBorders>
              <w:top w:val="single" w:sz="8" w:space="0" w:color="auto"/>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[Kč]</w:t>
            </w:r>
          </w:p>
        </w:tc>
        <w:tc>
          <w:tcPr>
            <w:tcW w:w="1600" w:type="dxa"/>
            <w:tcBorders>
              <w:top w:val="single" w:sz="8" w:space="0" w:color="auto"/>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145 890</w:t>
            </w:r>
          </w:p>
        </w:tc>
      </w:tr>
      <w:tr w:rsidR="006033D7" w:rsidRPr="006033D7" w:rsidTr="006033D7">
        <w:trPr>
          <w:trHeight w:val="300"/>
        </w:trPr>
        <w:tc>
          <w:tcPr>
            <w:tcW w:w="4180" w:type="dxa"/>
            <w:tcBorders>
              <w:top w:val="nil"/>
              <w:left w:val="nil"/>
              <w:bottom w:val="single" w:sz="8" w:space="0" w:color="auto"/>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Rozpočtová rezerva (3 %)</w:t>
            </w:r>
          </w:p>
        </w:tc>
        <w:tc>
          <w:tcPr>
            <w:tcW w:w="1280" w:type="dxa"/>
            <w:tcBorders>
              <w:top w:val="nil"/>
              <w:left w:val="nil"/>
              <w:bottom w:val="single" w:sz="8" w:space="0" w:color="auto"/>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jednorázově</w:t>
            </w:r>
          </w:p>
        </w:tc>
        <w:tc>
          <w:tcPr>
            <w:tcW w:w="1360" w:type="dxa"/>
            <w:tcBorders>
              <w:top w:val="nil"/>
              <w:left w:val="nil"/>
              <w:bottom w:val="single" w:sz="8" w:space="0" w:color="auto"/>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[Kč]</w:t>
            </w:r>
          </w:p>
        </w:tc>
        <w:tc>
          <w:tcPr>
            <w:tcW w:w="1600" w:type="dxa"/>
            <w:tcBorders>
              <w:top w:val="nil"/>
              <w:left w:val="nil"/>
              <w:bottom w:val="single" w:sz="8" w:space="0" w:color="auto"/>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218 835</w:t>
            </w:r>
          </w:p>
        </w:tc>
      </w:tr>
      <w:tr w:rsidR="006033D7" w:rsidRPr="006033D7" w:rsidTr="006033D7">
        <w:trPr>
          <w:trHeight w:val="300"/>
        </w:trPr>
        <w:tc>
          <w:tcPr>
            <w:tcW w:w="4180" w:type="dxa"/>
            <w:tcBorders>
              <w:top w:val="single" w:sz="8" w:space="0" w:color="auto"/>
              <w:left w:val="nil"/>
              <w:bottom w:val="single" w:sz="8" w:space="0" w:color="auto"/>
              <w:right w:val="nil"/>
            </w:tcBorders>
            <w:shd w:val="clear" w:color="000000" w:fill="E2EFDA"/>
            <w:vAlign w:val="center"/>
            <w:hideMark/>
          </w:tcPr>
          <w:p w:rsidR="006033D7" w:rsidRPr="006033D7" w:rsidRDefault="006033D7" w:rsidP="006033D7">
            <w:pPr>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Celkem</w:t>
            </w:r>
          </w:p>
        </w:tc>
        <w:tc>
          <w:tcPr>
            <w:tcW w:w="1280" w:type="dxa"/>
            <w:tcBorders>
              <w:top w:val="single" w:sz="8" w:space="0" w:color="auto"/>
              <w:left w:val="nil"/>
              <w:bottom w:val="single" w:sz="8" w:space="0" w:color="auto"/>
              <w:right w:val="nil"/>
            </w:tcBorders>
            <w:shd w:val="clear" w:color="000000" w:fill="E2EFDA"/>
            <w:noWrap/>
            <w:vAlign w:val="center"/>
            <w:hideMark/>
          </w:tcPr>
          <w:p w:rsidR="006033D7" w:rsidRPr="006033D7" w:rsidRDefault="006033D7" w:rsidP="006033D7">
            <w:pPr>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jednorázově</w:t>
            </w:r>
          </w:p>
        </w:tc>
        <w:tc>
          <w:tcPr>
            <w:tcW w:w="1360" w:type="dxa"/>
            <w:tcBorders>
              <w:top w:val="single" w:sz="8" w:space="0" w:color="auto"/>
              <w:left w:val="nil"/>
              <w:bottom w:val="single" w:sz="8" w:space="0" w:color="auto"/>
              <w:right w:val="nil"/>
            </w:tcBorders>
            <w:shd w:val="clear" w:color="000000" w:fill="E2EFDA"/>
            <w:noWrap/>
            <w:vAlign w:val="center"/>
            <w:hideMark/>
          </w:tcPr>
          <w:p w:rsidR="006033D7" w:rsidRPr="006033D7" w:rsidRDefault="006033D7" w:rsidP="006033D7">
            <w:pPr>
              <w:spacing w:before="0" w:after="0" w:line="240" w:lineRule="auto"/>
              <w:jc w:val="center"/>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[Kč]</w:t>
            </w:r>
          </w:p>
        </w:tc>
        <w:tc>
          <w:tcPr>
            <w:tcW w:w="1600" w:type="dxa"/>
            <w:tcBorders>
              <w:top w:val="single" w:sz="8" w:space="0" w:color="auto"/>
              <w:left w:val="nil"/>
              <w:bottom w:val="single" w:sz="8" w:space="0" w:color="auto"/>
              <w:right w:val="nil"/>
            </w:tcBorders>
            <w:shd w:val="clear" w:color="auto" w:fill="auto"/>
            <w:noWrap/>
            <w:vAlign w:val="center"/>
            <w:hideMark/>
          </w:tcPr>
          <w:p w:rsidR="006033D7" w:rsidRPr="006033D7" w:rsidRDefault="006033D7" w:rsidP="006033D7">
            <w:pPr>
              <w:spacing w:before="0" w:after="0" w:line="240" w:lineRule="auto"/>
              <w:jc w:val="righ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7 659 225</w:t>
            </w:r>
          </w:p>
        </w:tc>
      </w:tr>
    </w:tbl>
    <w:p w:rsidR="00B77605" w:rsidRDefault="00B77605" w:rsidP="0011209F">
      <w:r>
        <w:t xml:space="preserve">Nejvyšší položkou jsou však dle odhadu náklady na distribuční soustavu chlazení po budově ČNB. Položka zahrnuje výdaje shrnuté v </w:t>
      </w:r>
      <w:r w:rsidR="0011209F">
        <w:fldChar w:fldCharType="begin"/>
      </w:r>
      <w:r w:rsidR="0011209F">
        <w:instrText xml:space="preserve"> REF _Ref58944420 \h </w:instrText>
      </w:r>
      <w:r w:rsidR="0011209F">
        <w:fldChar w:fldCharType="separate"/>
      </w:r>
      <w:r w:rsidR="00816426">
        <w:t xml:space="preserve">Tab. </w:t>
      </w:r>
      <w:r w:rsidR="00816426">
        <w:rPr>
          <w:noProof/>
        </w:rPr>
        <w:t>25</w:t>
      </w:r>
      <w:r w:rsidR="0011209F">
        <w:fldChar w:fldCharType="end"/>
      </w:r>
      <w:r>
        <w:t xml:space="preserve">. Vzhledem k tomu, že celkový rozsah, provedení chladicí soustavy se může ještě částečně lišit od </w:t>
      </w:r>
      <w:r w:rsidR="0011209F">
        <w:t>tohoto návrhu</w:t>
      </w:r>
      <w:r>
        <w:t>, skrývá v sobě tato položka nejvyšší míru nejistoty.</w:t>
      </w:r>
    </w:p>
    <w:p w:rsidR="0011209F" w:rsidRDefault="0011209F" w:rsidP="006033D7">
      <w:pPr>
        <w:pStyle w:val="Tabulka"/>
      </w:pPr>
      <w:bookmarkStart w:id="133" w:name="_Ref58944420"/>
      <w:r>
        <w:t xml:space="preserve">Tab. </w:t>
      </w:r>
      <w:fldSimple w:instr=" SEQ Tab. \* ARABIC ">
        <w:r w:rsidR="00816426">
          <w:rPr>
            <w:noProof/>
          </w:rPr>
          <w:t>25</w:t>
        </w:r>
      </w:fldSimple>
      <w:bookmarkEnd w:id="133"/>
      <w:r>
        <w:t xml:space="preserve"> Investiční náklady – Varianta B – distribuční soustava chlazení</w:t>
      </w:r>
    </w:p>
    <w:tbl>
      <w:tblPr>
        <w:tblW w:w="8420" w:type="dxa"/>
        <w:tblInd w:w="70" w:type="dxa"/>
        <w:tblCellMar>
          <w:left w:w="70" w:type="dxa"/>
          <w:right w:w="70" w:type="dxa"/>
        </w:tblCellMar>
        <w:tblLook w:val="04A0" w:firstRow="1" w:lastRow="0" w:firstColumn="1" w:lastColumn="0" w:noHBand="0" w:noVBand="1"/>
      </w:tblPr>
      <w:tblGrid>
        <w:gridCol w:w="4180"/>
        <w:gridCol w:w="1280"/>
        <w:gridCol w:w="1360"/>
        <w:gridCol w:w="1600"/>
      </w:tblGrid>
      <w:tr w:rsidR="006033D7" w:rsidRPr="006033D7" w:rsidTr="006033D7">
        <w:trPr>
          <w:trHeight w:val="300"/>
        </w:trPr>
        <w:tc>
          <w:tcPr>
            <w:tcW w:w="4180" w:type="dxa"/>
            <w:tcBorders>
              <w:top w:val="nil"/>
              <w:left w:val="nil"/>
              <w:bottom w:val="nil"/>
              <w:right w:val="nil"/>
            </w:tcBorders>
            <w:shd w:val="clear" w:color="auto" w:fill="auto"/>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Soustava chlazení</w:t>
            </w:r>
          </w:p>
        </w:tc>
        <w:tc>
          <w:tcPr>
            <w:tcW w:w="128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Četnost</w:t>
            </w:r>
          </w:p>
        </w:tc>
        <w:tc>
          <w:tcPr>
            <w:tcW w:w="136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Jednotka</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Cena (bez DPH)</w:t>
            </w:r>
          </w:p>
        </w:tc>
      </w:tr>
      <w:tr w:rsidR="006033D7" w:rsidRPr="006033D7" w:rsidTr="006033D7">
        <w:trPr>
          <w:trHeight w:val="300"/>
        </w:trPr>
        <w:tc>
          <w:tcPr>
            <w:tcW w:w="4180" w:type="dxa"/>
            <w:tcBorders>
              <w:top w:val="single" w:sz="8" w:space="0" w:color="auto"/>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Potrubní rozvody, vč. izolace, uchycení</w:t>
            </w:r>
          </w:p>
        </w:tc>
        <w:tc>
          <w:tcPr>
            <w:tcW w:w="1280" w:type="dxa"/>
            <w:tcBorders>
              <w:top w:val="single" w:sz="8" w:space="0" w:color="auto"/>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single" w:sz="8" w:space="0" w:color="auto"/>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single" w:sz="8" w:space="0" w:color="auto"/>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5 500 000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Montáž potrubí</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3 300 000</w:t>
            </w:r>
          </w:p>
        </w:tc>
      </w:tr>
      <w:tr w:rsidR="006033D7" w:rsidRPr="006033D7" w:rsidTr="006033D7">
        <w:trPr>
          <w:trHeight w:val="6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Spotřebiče chladu, vč. armatur, odvodu kondenzátu</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20 500 000</w:t>
            </w:r>
          </w:p>
        </w:tc>
      </w:tr>
      <w:tr w:rsidR="006033D7" w:rsidRPr="006033D7" w:rsidTr="006033D7">
        <w:trPr>
          <w:trHeight w:val="6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Napojení na stávající MaR vč. Vizualizace (distribuční soustava)</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2 800 000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Stavební úpravy (instalace spotřebičů)</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2 000 000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CE4DD8">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Stavební přípomoc</w:t>
            </w:r>
            <w:r w:rsidR="00CE4DD8">
              <w:rPr>
                <w:rFonts w:ascii="Calibri" w:eastAsia="Times New Roman" w:hAnsi="Calibri" w:cs="Calibri"/>
                <w:color w:val="000000"/>
                <w:lang w:eastAsia="cs-CZ"/>
              </w:rPr>
              <w:t>i</w:t>
            </w:r>
            <w:r w:rsidRPr="006033D7">
              <w:rPr>
                <w:rFonts w:ascii="Calibri" w:eastAsia="Times New Roman" w:hAnsi="Calibri" w:cs="Calibri"/>
                <w:color w:val="000000"/>
                <w:lang w:eastAsia="cs-CZ"/>
              </w:rPr>
              <w:t xml:space="preserve"> (stoupací potrubí)</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1 000 000</w:t>
            </w:r>
          </w:p>
        </w:tc>
      </w:tr>
      <w:tr w:rsidR="006033D7" w:rsidRPr="006033D7" w:rsidTr="006033D7">
        <w:trPr>
          <w:trHeight w:val="6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Dopojení elektrické energie ke spotřebičům chladu</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3 000 000</w:t>
            </w:r>
          </w:p>
        </w:tc>
      </w:tr>
      <w:tr w:rsidR="006033D7" w:rsidRPr="006033D7" w:rsidTr="006033D7">
        <w:trPr>
          <w:trHeight w:val="6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Vnitřní náklady (vyklizení kanceláří, zpětné vybavení), jiná opatření</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4 000 000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Autorský dozor</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150 000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Dokumentace studie proveditelnosti</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900 000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Dokumentace pro stavební povolení</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3 800 000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 xml:space="preserve">Dokumentace pro provedení stavby </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800 000</w:t>
            </w:r>
          </w:p>
        </w:tc>
      </w:tr>
      <w:tr w:rsidR="006033D7" w:rsidRPr="006033D7" w:rsidTr="006033D7">
        <w:trPr>
          <w:trHeight w:val="6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Projektová dokumentace skutečného provedení</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700 000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Inženýrská činnost</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200 000</w:t>
            </w:r>
          </w:p>
        </w:tc>
      </w:tr>
      <w:tr w:rsidR="006033D7" w:rsidRPr="006033D7" w:rsidTr="006033D7">
        <w:trPr>
          <w:trHeight w:val="600"/>
        </w:trPr>
        <w:tc>
          <w:tcPr>
            <w:tcW w:w="4180" w:type="dxa"/>
            <w:tcBorders>
              <w:top w:val="nil"/>
              <w:left w:val="nil"/>
              <w:bottom w:val="single" w:sz="8" w:space="0" w:color="auto"/>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Činnost koordinátora BP vč. opatření a projektu</w:t>
            </w:r>
          </w:p>
        </w:tc>
        <w:tc>
          <w:tcPr>
            <w:tcW w:w="1280" w:type="dxa"/>
            <w:tcBorders>
              <w:top w:val="nil"/>
              <w:left w:val="nil"/>
              <w:bottom w:val="single" w:sz="8" w:space="0" w:color="auto"/>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color w:val="000000"/>
                <w:lang w:eastAsia="cs-CZ"/>
              </w:rPr>
            </w:pPr>
            <w:r w:rsidRPr="006033D7">
              <w:rPr>
                <w:rFonts w:ascii="Calibri" w:eastAsia="Times New Roman" w:hAnsi="Calibri" w:cs="Calibri"/>
                <w:color w:val="000000"/>
                <w:lang w:eastAsia="cs-CZ"/>
              </w:rPr>
              <w:t>jednorázově</w:t>
            </w:r>
          </w:p>
        </w:tc>
        <w:tc>
          <w:tcPr>
            <w:tcW w:w="1360" w:type="dxa"/>
            <w:tcBorders>
              <w:top w:val="nil"/>
              <w:left w:val="nil"/>
              <w:bottom w:val="single" w:sz="8" w:space="0" w:color="auto"/>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color w:val="000000"/>
                <w:lang w:eastAsia="cs-CZ"/>
              </w:rPr>
            </w:pPr>
            <w:r w:rsidRPr="006033D7">
              <w:rPr>
                <w:rFonts w:ascii="Calibri" w:eastAsia="Times New Roman" w:hAnsi="Calibri" w:cs="Calibri"/>
                <w:color w:val="000000"/>
                <w:lang w:eastAsia="cs-CZ"/>
              </w:rPr>
              <w:t>[Kč]</w:t>
            </w:r>
          </w:p>
        </w:tc>
        <w:tc>
          <w:tcPr>
            <w:tcW w:w="1600" w:type="dxa"/>
            <w:tcBorders>
              <w:top w:val="nil"/>
              <w:left w:val="nil"/>
              <w:bottom w:val="single" w:sz="8" w:space="0" w:color="auto"/>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lang w:eastAsia="cs-CZ"/>
              </w:rPr>
            </w:pPr>
            <w:r w:rsidRPr="006033D7">
              <w:rPr>
                <w:rFonts w:ascii="Calibri" w:eastAsia="Times New Roman" w:hAnsi="Calibri" w:cs="Calibri"/>
                <w:lang w:eastAsia="cs-CZ"/>
              </w:rPr>
              <w:t>900 000</w:t>
            </w:r>
          </w:p>
        </w:tc>
      </w:tr>
      <w:tr w:rsidR="006033D7" w:rsidRPr="006033D7" w:rsidTr="006033D7">
        <w:trPr>
          <w:trHeight w:val="300"/>
        </w:trPr>
        <w:tc>
          <w:tcPr>
            <w:tcW w:w="4180" w:type="dxa"/>
            <w:tcBorders>
              <w:top w:val="nil"/>
              <w:left w:val="nil"/>
              <w:bottom w:val="nil"/>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Vedlejší rozpočtové náklady (2 %)</w:t>
            </w:r>
          </w:p>
        </w:tc>
        <w:tc>
          <w:tcPr>
            <w:tcW w:w="128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jednorázově</w:t>
            </w:r>
          </w:p>
        </w:tc>
        <w:tc>
          <w:tcPr>
            <w:tcW w:w="1360" w:type="dxa"/>
            <w:tcBorders>
              <w:top w:val="nil"/>
              <w:left w:val="nil"/>
              <w:bottom w:val="nil"/>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[Kč]</w:t>
            </w:r>
          </w:p>
        </w:tc>
        <w:tc>
          <w:tcPr>
            <w:tcW w:w="1600" w:type="dxa"/>
            <w:tcBorders>
              <w:top w:val="nil"/>
              <w:left w:val="nil"/>
              <w:bottom w:val="nil"/>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991 000</w:t>
            </w:r>
          </w:p>
        </w:tc>
      </w:tr>
      <w:tr w:rsidR="006033D7" w:rsidRPr="006033D7" w:rsidTr="006033D7">
        <w:trPr>
          <w:trHeight w:val="300"/>
        </w:trPr>
        <w:tc>
          <w:tcPr>
            <w:tcW w:w="4180" w:type="dxa"/>
            <w:tcBorders>
              <w:top w:val="nil"/>
              <w:left w:val="nil"/>
              <w:bottom w:val="single" w:sz="8" w:space="0" w:color="auto"/>
              <w:right w:val="nil"/>
            </w:tcBorders>
            <w:shd w:val="clear" w:color="000000" w:fill="E2EFDA"/>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Rozpočtová rezerva (3 %)</w:t>
            </w:r>
          </w:p>
        </w:tc>
        <w:tc>
          <w:tcPr>
            <w:tcW w:w="1280" w:type="dxa"/>
            <w:tcBorders>
              <w:top w:val="nil"/>
              <w:left w:val="nil"/>
              <w:bottom w:val="single" w:sz="8" w:space="0" w:color="auto"/>
              <w:right w:val="nil"/>
            </w:tcBorders>
            <w:shd w:val="clear" w:color="000000" w:fill="E2EFDA"/>
            <w:noWrap/>
            <w:vAlign w:val="center"/>
            <w:hideMark/>
          </w:tcPr>
          <w:p w:rsidR="006033D7" w:rsidRPr="006033D7" w:rsidRDefault="006033D7" w:rsidP="006033D7">
            <w:pPr>
              <w:keepNext/>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jednorázově</w:t>
            </w:r>
          </w:p>
        </w:tc>
        <w:tc>
          <w:tcPr>
            <w:tcW w:w="1360" w:type="dxa"/>
            <w:tcBorders>
              <w:top w:val="nil"/>
              <w:left w:val="nil"/>
              <w:bottom w:val="single" w:sz="8" w:space="0" w:color="auto"/>
              <w:right w:val="nil"/>
            </w:tcBorders>
            <w:shd w:val="clear" w:color="000000" w:fill="E2EFDA"/>
            <w:noWrap/>
            <w:vAlign w:val="center"/>
            <w:hideMark/>
          </w:tcPr>
          <w:p w:rsidR="006033D7" w:rsidRPr="006033D7" w:rsidRDefault="006033D7" w:rsidP="006033D7">
            <w:pPr>
              <w:keepNext/>
              <w:spacing w:before="0" w:after="0" w:line="240" w:lineRule="auto"/>
              <w:jc w:val="center"/>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[Kč]</w:t>
            </w:r>
          </w:p>
        </w:tc>
        <w:tc>
          <w:tcPr>
            <w:tcW w:w="1600" w:type="dxa"/>
            <w:tcBorders>
              <w:top w:val="nil"/>
              <w:left w:val="nil"/>
              <w:bottom w:val="single" w:sz="8" w:space="0" w:color="auto"/>
              <w:right w:val="nil"/>
            </w:tcBorders>
            <w:shd w:val="clear" w:color="auto" w:fill="auto"/>
            <w:noWrap/>
            <w:vAlign w:val="center"/>
            <w:hideMark/>
          </w:tcPr>
          <w:p w:rsidR="006033D7" w:rsidRPr="006033D7" w:rsidRDefault="006033D7" w:rsidP="006033D7">
            <w:pPr>
              <w:keepNext/>
              <w:spacing w:before="0" w:after="0" w:line="240" w:lineRule="auto"/>
              <w:jc w:val="righ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1 486 500</w:t>
            </w:r>
          </w:p>
        </w:tc>
      </w:tr>
      <w:tr w:rsidR="006033D7" w:rsidRPr="006033D7" w:rsidTr="006033D7">
        <w:trPr>
          <w:trHeight w:val="300"/>
        </w:trPr>
        <w:tc>
          <w:tcPr>
            <w:tcW w:w="4180" w:type="dxa"/>
            <w:tcBorders>
              <w:top w:val="single" w:sz="8" w:space="0" w:color="auto"/>
              <w:left w:val="nil"/>
              <w:bottom w:val="single" w:sz="8" w:space="0" w:color="auto"/>
              <w:right w:val="nil"/>
            </w:tcBorders>
            <w:shd w:val="clear" w:color="000000" w:fill="E2EFDA"/>
            <w:vAlign w:val="center"/>
            <w:hideMark/>
          </w:tcPr>
          <w:p w:rsidR="006033D7" w:rsidRPr="006033D7" w:rsidRDefault="006033D7" w:rsidP="006033D7">
            <w:pPr>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Celkem</w:t>
            </w:r>
          </w:p>
        </w:tc>
        <w:tc>
          <w:tcPr>
            <w:tcW w:w="1280" w:type="dxa"/>
            <w:tcBorders>
              <w:top w:val="single" w:sz="8" w:space="0" w:color="auto"/>
              <w:left w:val="nil"/>
              <w:bottom w:val="single" w:sz="8" w:space="0" w:color="auto"/>
              <w:right w:val="nil"/>
            </w:tcBorders>
            <w:shd w:val="clear" w:color="000000" w:fill="E2EFDA"/>
            <w:noWrap/>
            <w:vAlign w:val="center"/>
            <w:hideMark/>
          </w:tcPr>
          <w:p w:rsidR="006033D7" w:rsidRPr="006033D7" w:rsidRDefault="006033D7" w:rsidP="006033D7">
            <w:pPr>
              <w:spacing w:before="0" w:after="0" w:line="240" w:lineRule="auto"/>
              <w:jc w:val="lef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jednorázově</w:t>
            </w:r>
          </w:p>
        </w:tc>
        <w:tc>
          <w:tcPr>
            <w:tcW w:w="1360" w:type="dxa"/>
            <w:tcBorders>
              <w:top w:val="single" w:sz="8" w:space="0" w:color="auto"/>
              <w:left w:val="nil"/>
              <w:bottom w:val="single" w:sz="8" w:space="0" w:color="auto"/>
              <w:right w:val="nil"/>
            </w:tcBorders>
            <w:shd w:val="clear" w:color="000000" w:fill="E2EFDA"/>
            <w:noWrap/>
            <w:vAlign w:val="center"/>
            <w:hideMark/>
          </w:tcPr>
          <w:p w:rsidR="006033D7" w:rsidRPr="006033D7" w:rsidRDefault="006033D7" w:rsidP="006033D7">
            <w:pPr>
              <w:spacing w:before="0" w:after="0" w:line="240" w:lineRule="auto"/>
              <w:jc w:val="center"/>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[Kč]</w:t>
            </w:r>
          </w:p>
        </w:tc>
        <w:tc>
          <w:tcPr>
            <w:tcW w:w="1600" w:type="dxa"/>
            <w:tcBorders>
              <w:top w:val="single" w:sz="8" w:space="0" w:color="auto"/>
              <w:left w:val="nil"/>
              <w:bottom w:val="single" w:sz="8" w:space="0" w:color="auto"/>
              <w:right w:val="nil"/>
            </w:tcBorders>
            <w:shd w:val="clear" w:color="auto" w:fill="auto"/>
            <w:noWrap/>
            <w:vAlign w:val="center"/>
            <w:hideMark/>
          </w:tcPr>
          <w:p w:rsidR="006033D7" w:rsidRPr="006033D7" w:rsidRDefault="006033D7" w:rsidP="006033D7">
            <w:pPr>
              <w:spacing w:before="0" w:after="0" w:line="240" w:lineRule="auto"/>
              <w:jc w:val="right"/>
              <w:rPr>
                <w:rFonts w:ascii="Calibri" w:eastAsia="Times New Roman" w:hAnsi="Calibri" w:cs="Calibri"/>
                <w:b/>
                <w:bCs/>
                <w:color w:val="000000"/>
                <w:lang w:eastAsia="cs-CZ"/>
              </w:rPr>
            </w:pPr>
            <w:r w:rsidRPr="006033D7">
              <w:rPr>
                <w:rFonts w:ascii="Calibri" w:eastAsia="Times New Roman" w:hAnsi="Calibri" w:cs="Calibri"/>
                <w:b/>
                <w:bCs/>
                <w:color w:val="000000"/>
                <w:lang w:eastAsia="cs-CZ"/>
              </w:rPr>
              <w:t>52 027 500</w:t>
            </w:r>
          </w:p>
        </w:tc>
      </w:tr>
    </w:tbl>
    <w:p w:rsidR="00FB6A43" w:rsidRDefault="00FB6A43" w:rsidP="00FB6A43">
      <w:pPr>
        <w:pStyle w:val="Nadpis3"/>
      </w:pPr>
      <w:bookmarkStart w:id="134" w:name="_Toc58949388"/>
      <w:r>
        <w:t>Servisní náklady</w:t>
      </w:r>
      <w:bookmarkEnd w:id="134"/>
    </w:p>
    <w:p w:rsidR="00FB6A43" w:rsidRDefault="00FB6A43" w:rsidP="00FB6A43">
      <w:r>
        <w:t>Servisní náklady na provoz kogenerační jednotky činí dle výrobce jednotky 80 Kč za motohodinu (přibližně 304,20 Kč/MWh</w:t>
      </w:r>
      <w:r w:rsidRPr="00D94FCC">
        <w:rPr>
          <w:vertAlign w:val="subscript"/>
        </w:rPr>
        <w:t>EL</w:t>
      </w:r>
      <w:r w:rsidR="000111FE">
        <w:t xml:space="preserve"> bez DPH</w:t>
      </w:r>
      <w:r>
        <w:t>). Při provozu jednotky 3</w:t>
      </w:r>
      <w:r w:rsidR="00402561">
        <w:t> </w:t>
      </w:r>
      <w:r>
        <w:t>000 h ročně celková částka vychází přibližně 240 tis. Kč ročně</w:t>
      </w:r>
      <w:r w:rsidR="000111FE">
        <w:t xml:space="preserve"> bez DPH</w:t>
      </w:r>
      <w:r>
        <w:t xml:space="preserve">. Po 50 tis. motohodinách provozu kogenerační jednotky </w:t>
      </w:r>
      <w:r w:rsidR="00825053">
        <w:t>je počítáno</w:t>
      </w:r>
      <w:r>
        <w:t xml:space="preserve"> s generální opravou za 1,4 mil. Kč</w:t>
      </w:r>
      <w:r w:rsidR="000111FE">
        <w:t xml:space="preserve"> bez DPH</w:t>
      </w:r>
      <w:r>
        <w:t>. Životnost kogenerační jednotky je uvažována 80 tis. motohodin (26 let = doba hodnocení projektu).</w:t>
      </w:r>
    </w:p>
    <w:p w:rsidR="00FB6A43" w:rsidRDefault="00FB6A43" w:rsidP="00FB6A43">
      <w:r>
        <w:t>U jednotky kompresorového chlazení se nepředpokládají nějaké výrazné výdaje za servis. Uvažuje se pouze drobná údržba a revize v hodnotě 22,1 tis. Kč ročně</w:t>
      </w:r>
      <w:r w:rsidR="000111FE">
        <w:t xml:space="preserve"> bez DPH</w:t>
      </w:r>
      <w:r>
        <w:t>.</w:t>
      </w:r>
    </w:p>
    <w:p w:rsidR="005C55D6" w:rsidRDefault="00FB6A43" w:rsidP="00FB6A43">
      <w:pPr>
        <w:pStyle w:val="Nadpis1"/>
      </w:pPr>
      <w:bookmarkStart w:id="135" w:name="_Toc58949389"/>
      <w:r>
        <w:t>HARMONOGRAM REALIZACE PROJEKTU VČETNĚ ROZPOČTOVÉHO HARMONOGRAMU</w:t>
      </w:r>
      <w:bookmarkEnd w:id="135"/>
    </w:p>
    <w:p w:rsidR="008403B3" w:rsidRDefault="00BF1B7C" w:rsidP="00BF1B7C">
      <w:pPr>
        <w:pStyle w:val="Nadpis2"/>
      </w:pPr>
      <w:bookmarkStart w:id="136" w:name="_Toc58949390"/>
      <w:r>
        <w:t>Varianta B</w:t>
      </w:r>
      <w:r w:rsidR="00914F1B">
        <w:t xml:space="preserve"> – KGJ + bloková chladicí jednotka</w:t>
      </w:r>
      <w:bookmarkEnd w:id="136"/>
    </w:p>
    <w:p w:rsidR="00BF1B7C" w:rsidRPr="00BF1B7C" w:rsidRDefault="00BF1B7C" w:rsidP="00BF1B7C">
      <w:pPr>
        <w:pStyle w:val="Nadpis3"/>
      </w:pPr>
      <w:bookmarkStart w:id="137" w:name="_Toc58949391"/>
      <w:r>
        <w:t>Časový harmonogram realizace projektu</w:t>
      </w:r>
      <w:bookmarkEnd w:id="137"/>
    </w:p>
    <w:p w:rsidR="00BF1B7C" w:rsidRDefault="00BF1B7C" w:rsidP="00BF1B7C">
      <w:r>
        <w:t xml:space="preserve">Časový harmonogram realizace projektu pro variantu B je uveden na </w:t>
      </w:r>
      <w:r w:rsidR="00BC0CD3">
        <w:fldChar w:fldCharType="begin"/>
      </w:r>
      <w:r w:rsidR="00BC0CD3">
        <w:instrText xml:space="preserve"> REF _Ref56678193 \h </w:instrText>
      </w:r>
      <w:r w:rsidR="00BC0CD3">
        <w:fldChar w:fldCharType="separate"/>
      </w:r>
      <w:r w:rsidR="00816426">
        <w:t xml:space="preserve">Obr. </w:t>
      </w:r>
      <w:r w:rsidR="00816426">
        <w:rPr>
          <w:noProof/>
        </w:rPr>
        <w:t>18</w:t>
      </w:r>
      <w:r w:rsidR="00BC0CD3">
        <w:fldChar w:fldCharType="end"/>
      </w:r>
      <w:r>
        <w:t xml:space="preserve">. </w:t>
      </w:r>
      <w:r w:rsidR="004C5910">
        <w:t xml:space="preserve">Aktuálně je podpora POZE (KVET) vypsána na kogenerační jednotky uvedené do provozu do 31. 12. 2021, předpokládá se však její prodloužení do </w:t>
      </w:r>
      <w:r w:rsidR="009A7962">
        <w:t>dalších let</w:t>
      </w:r>
      <w:r w:rsidR="004C5910">
        <w:t>.</w:t>
      </w:r>
      <w:r>
        <w:t xml:space="preserve"> </w:t>
      </w:r>
      <w:r w:rsidR="004C5910">
        <w:t>Harmonogram počítá s dokončením projektu a uvedením KGJ do provozu až v roce 20</w:t>
      </w:r>
      <w:r w:rsidR="009A7962">
        <w:t>23</w:t>
      </w:r>
      <w:r w:rsidR="004C5910">
        <w:t>.</w:t>
      </w:r>
    </w:p>
    <w:p w:rsidR="00085676" w:rsidRDefault="00085676">
      <w:pPr>
        <w:spacing w:before="0" w:after="200"/>
        <w:jc w:val="left"/>
      </w:pPr>
      <w:r>
        <w:br w:type="page"/>
      </w:r>
    </w:p>
    <w:p w:rsidR="00085676" w:rsidRDefault="00085676" w:rsidP="00BF1B7C">
      <w:pPr>
        <w:sectPr w:rsidR="00085676" w:rsidSect="00F91C8B">
          <w:pgSz w:w="11906" w:h="16838"/>
          <w:pgMar w:top="1417" w:right="1417" w:bottom="1417" w:left="1417" w:header="709" w:footer="709" w:gutter="0"/>
          <w:cols w:space="708"/>
          <w:docGrid w:linePitch="360"/>
        </w:sect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13"/>
      </w:tblGrid>
      <w:tr w:rsidR="00BC0CD3" w:rsidTr="00223D38">
        <w:tc>
          <w:tcPr>
            <w:tcW w:w="9288" w:type="dxa"/>
          </w:tcPr>
          <w:p w:rsidR="00BC0CD3" w:rsidRDefault="00223D38" w:rsidP="00BC0CD3">
            <w:pPr>
              <w:keepNext/>
            </w:pPr>
            <w:r w:rsidRPr="00223D38">
              <w:rPr>
                <w:noProof/>
                <w:lang w:eastAsia="cs-CZ"/>
              </w:rPr>
              <w:drawing>
                <wp:inline distT="0" distB="0" distL="0" distR="0" wp14:anchorId="4F293CB7" wp14:editId="7C0B1337">
                  <wp:extent cx="8888095" cy="420624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888095" cy="4206240"/>
                          </a:xfrm>
                          <a:prstGeom prst="rect">
                            <a:avLst/>
                          </a:prstGeom>
                          <a:noFill/>
                          <a:ln>
                            <a:noFill/>
                          </a:ln>
                        </pic:spPr>
                      </pic:pic>
                    </a:graphicData>
                  </a:graphic>
                </wp:inline>
              </w:drawing>
            </w:r>
          </w:p>
        </w:tc>
      </w:tr>
      <w:tr w:rsidR="00BC0CD3" w:rsidTr="00223D38">
        <w:tc>
          <w:tcPr>
            <w:tcW w:w="9288" w:type="dxa"/>
          </w:tcPr>
          <w:p w:rsidR="00BC0CD3" w:rsidRDefault="00BC0CD3" w:rsidP="00876376">
            <w:pPr>
              <w:pStyle w:val="Obrzek"/>
              <w:keepNext w:val="0"/>
            </w:pPr>
            <w:bookmarkStart w:id="138" w:name="_Ref56678193"/>
            <w:r>
              <w:t xml:space="preserve">Obr. </w:t>
            </w:r>
            <w:fldSimple w:instr=" SEQ Obr. \* ARABIC ">
              <w:r w:rsidR="00816426">
                <w:rPr>
                  <w:noProof/>
                </w:rPr>
                <w:t>18</w:t>
              </w:r>
            </w:fldSimple>
            <w:bookmarkEnd w:id="138"/>
            <w:r>
              <w:t xml:space="preserve"> Rámcový harmonogram realizace projektu – Varianta B</w:t>
            </w:r>
          </w:p>
        </w:tc>
      </w:tr>
    </w:tbl>
    <w:p w:rsidR="00085676" w:rsidRDefault="00085676" w:rsidP="00BC0CD3">
      <w:pPr>
        <w:pStyle w:val="Nadpis3"/>
        <w:sectPr w:rsidR="00085676" w:rsidSect="00085676">
          <w:pgSz w:w="16838" w:h="11906" w:orient="landscape"/>
          <w:pgMar w:top="1417" w:right="1417" w:bottom="1417" w:left="1417" w:header="709" w:footer="709" w:gutter="0"/>
          <w:cols w:space="708"/>
          <w:docGrid w:linePitch="360"/>
        </w:sectPr>
      </w:pPr>
    </w:p>
    <w:p w:rsidR="00BC0CD3" w:rsidRDefault="004D124C" w:rsidP="00BC0CD3">
      <w:pPr>
        <w:pStyle w:val="Nadpis3"/>
      </w:pPr>
      <w:bookmarkStart w:id="139" w:name="_Toc58949392"/>
      <w:r>
        <w:t>Rozpočtový harmonogram</w:t>
      </w:r>
      <w:bookmarkEnd w:id="139"/>
    </w:p>
    <w:p w:rsidR="004D124C" w:rsidRDefault="004D124C" w:rsidP="00876376">
      <w:pPr>
        <w:keepNext/>
      </w:pPr>
      <w:r>
        <w:t xml:space="preserve">Rozpočtový harmonogram pro variantu B je na </w:t>
      </w:r>
      <w:r w:rsidR="00945F96">
        <w:fldChar w:fldCharType="begin"/>
      </w:r>
      <w:r w:rsidR="00945F96">
        <w:instrText xml:space="preserve"> REF _Ref56680798 \h </w:instrText>
      </w:r>
      <w:r w:rsidR="00945F96">
        <w:fldChar w:fldCharType="separate"/>
      </w:r>
      <w:r w:rsidR="00816426">
        <w:t xml:space="preserve">Obr. </w:t>
      </w:r>
      <w:r w:rsidR="00816426">
        <w:rPr>
          <w:noProof/>
        </w:rPr>
        <w:t>19</w:t>
      </w:r>
      <w:r w:rsidR="00945F96">
        <w:fldChar w:fldCharType="end"/>
      </w:r>
      <w:r>
        <w:t xml:space="preserve">.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CE7EC8" w:rsidTr="00247702">
        <w:tc>
          <w:tcPr>
            <w:tcW w:w="9212" w:type="dxa"/>
          </w:tcPr>
          <w:p w:rsidR="00CE7EC8" w:rsidRDefault="006330B2" w:rsidP="00945F96">
            <w:pPr>
              <w:keepNext/>
              <w:jc w:val="center"/>
            </w:pPr>
            <w:r w:rsidRPr="006330B2">
              <w:rPr>
                <w:noProof/>
                <w:lang w:eastAsia="cs-CZ"/>
              </w:rPr>
              <w:drawing>
                <wp:inline distT="0" distB="0" distL="0" distR="0" wp14:anchorId="4FED23E9" wp14:editId="57877018">
                  <wp:extent cx="4714875" cy="3171825"/>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14875" cy="3171825"/>
                          </a:xfrm>
                          <a:prstGeom prst="rect">
                            <a:avLst/>
                          </a:prstGeom>
                          <a:noFill/>
                          <a:ln>
                            <a:noFill/>
                          </a:ln>
                        </pic:spPr>
                      </pic:pic>
                    </a:graphicData>
                  </a:graphic>
                </wp:inline>
              </w:drawing>
            </w:r>
          </w:p>
        </w:tc>
      </w:tr>
      <w:tr w:rsidR="00CE7EC8" w:rsidTr="00247702">
        <w:tc>
          <w:tcPr>
            <w:tcW w:w="9212" w:type="dxa"/>
          </w:tcPr>
          <w:p w:rsidR="00CE7EC8" w:rsidRDefault="00945F96" w:rsidP="00945F96">
            <w:pPr>
              <w:pStyle w:val="Obrzek"/>
            </w:pPr>
            <w:bookmarkStart w:id="140" w:name="_Ref56680798"/>
            <w:r>
              <w:t xml:space="preserve">Obr. </w:t>
            </w:r>
            <w:fldSimple w:instr=" SEQ Obr. \* ARABIC ">
              <w:r w:rsidR="00816426">
                <w:rPr>
                  <w:noProof/>
                </w:rPr>
                <w:t>19</w:t>
              </w:r>
            </w:fldSimple>
            <w:bookmarkEnd w:id="140"/>
            <w:r>
              <w:t xml:space="preserve"> Rozpočtový harmonogram – Varianta B</w:t>
            </w:r>
          </w:p>
        </w:tc>
      </w:tr>
    </w:tbl>
    <w:p w:rsidR="00CE7EC8" w:rsidRDefault="00945F96" w:rsidP="00945F96">
      <w:pPr>
        <w:pStyle w:val="Nadpis1"/>
      </w:pPr>
      <w:bookmarkStart w:id="141" w:name="_Toc58949393"/>
      <w:r>
        <w:t>NAVAZUJÍCÍ STUPEŇ PROJEKTOVÉ DOKUMENTACE</w:t>
      </w:r>
      <w:bookmarkEnd w:id="141"/>
    </w:p>
    <w:p w:rsidR="00AE6BB3" w:rsidRPr="00AE6BB3" w:rsidRDefault="00AE6BB3" w:rsidP="00AE6BB3">
      <w:r w:rsidRPr="00AE6BB3">
        <w:t>Pro instalaci kogenerační jednotky a chladícího zařízení bude potřeba zpracovat projektovou dokumentaci v rozsahu dokumentace pro stavební povolení a dokumentace pro provedení stavby dle vyhlášky 499/2016 Sb</w:t>
      </w:r>
      <w:r>
        <w:t>.</w:t>
      </w:r>
      <w:r w:rsidRPr="00AE6BB3">
        <w:t xml:space="preserve"> v platném znění.</w:t>
      </w:r>
    </w:p>
    <w:p w:rsidR="00AE6BB3" w:rsidRPr="00AE6BB3" w:rsidRDefault="00AE6BB3" w:rsidP="00AE6BB3">
      <w:r w:rsidRPr="00AE6BB3">
        <w:t>Součástí projektové dokumentace by mělo být zajištění stavebního povolení včetně vyjádření dotčených orgánů státní správy (DOSS) a správců sítí (distribuce el. energie a plynu).</w:t>
      </w:r>
    </w:p>
    <w:p w:rsidR="00AE6BB3" w:rsidRPr="00AE6BB3" w:rsidRDefault="0007522E" w:rsidP="00AE6BB3">
      <w:r>
        <w:t>S</w:t>
      </w:r>
      <w:r w:rsidR="00AE6BB3" w:rsidRPr="00AE6BB3">
        <w:t xml:space="preserve">tavba </w:t>
      </w:r>
      <w:r>
        <w:t>není</w:t>
      </w:r>
      <w:r w:rsidR="00AE6BB3" w:rsidRPr="00AE6BB3">
        <w:t xml:space="preserve"> financována z veřejného rozpočtu, stavebník</w:t>
      </w:r>
      <w:r>
        <w:t xml:space="preserve"> tedy není</w:t>
      </w:r>
      <w:r w:rsidR="00AE6BB3" w:rsidRPr="00AE6BB3">
        <w:t xml:space="preserve"> povinen zajistit „technický dozor stavebníka“ nad prováděním stavby</w:t>
      </w:r>
      <w:r>
        <w:t xml:space="preserve">, je to </w:t>
      </w:r>
      <w:r w:rsidRPr="0007522E">
        <w:rPr>
          <w:b/>
        </w:rPr>
        <w:t>pouze doporučeno</w:t>
      </w:r>
      <w:r w:rsidR="00AE6BB3" w:rsidRPr="00AE6BB3">
        <w:t>. Pokud zpracovala projektovou dokumentaci pro tuto stavbu osoba oprávněná podle zvláštního právního předpisu, zajistí stavebník „autorský dozor projektanta“, případně hlavního projektanta nad souladem prováděné stavby s ověřenou projektovou dokumentací.</w:t>
      </w:r>
    </w:p>
    <w:p w:rsidR="00AE6BB3" w:rsidRPr="00AE6BB3" w:rsidRDefault="00AE6BB3" w:rsidP="00AE6BB3">
      <w:r w:rsidRPr="00AE6BB3">
        <w:t>Autorský dozor projektanta provádí projektant.</w:t>
      </w:r>
    </w:p>
    <w:p w:rsidR="00AE6BB3" w:rsidRPr="00AE6BB3" w:rsidRDefault="00AE6BB3" w:rsidP="00AE6BB3">
      <w:r w:rsidRPr="00AE6BB3">
        <w:t>Termín „Technický dozor stavebníka (investora)“ tedy v praxi vyskytující se „TDI“ není zákonem explicitně definován. Osoba by měla mít prokazatelné zkušenosti s realizací nebo projekcí popř. technickým dozorem u staveb obdobného charakteru.</w:t>
      </w:r>
    </w:p>
    <w:p w:rsidR="00AE6BB3" w:rsidRPr="00AE6BB3" w:rsidRDefault="00AE6BB3" w:rsidP="00AE6BB3">
      <w:r w:rsidRPr="00AE6BB3">
        <w:t>Vlastní instalace chladícího stroje bude vyžadovat stavební povolení, jelikož bude nutné staticky posoudit únosnost střešního pláště pro instalaci chladiče.</w:t>
      </w:r>
    </w:p>
    <w:p w:rsidR="00AE6BB3" w:rsidRPr="00AE6BB3" w:rsidRDefault="00AE6BB3" w:rsidP="00AE6BB3">
      <w:r w:rsidRPr="00AE6BB3">
        <w:t>Instalace kogenerační jednotky bude taktéž vyžadovat stavební povolení, jelikož bude potřeba staticky posoudit základ pod jednotkou</w:t>
      </w:r>
      <w:r>
        <w:t>.</w:t>
      </w:r>
    </w:p>
    <w:p w:rsidR="00AE6BB3" w:rsidRPr="00AE6BB3" w:rsidRDefault="00AE6BB3" w:rsidP="00AE6BB3">
      <w:pPr>
        <w:rPr>
          <w:b/>
        </w:rPr>
      </w:pPr>
      <w:r w:rsidRPr="00AE6BB3">
        <w:rPr>
          <w:b/>
        </w:rPr>
        <w:t>V projektové dokumentaci musí být výslovně uvedeno, že projektovaná kogenerační jednotka bude splňovat maximální limit produkce NOx 40 mg/Nm</w:t>
      </w:r>
      <w:r w:rsidRPr="00CD32D8">
        <w:rPr>
          <w:b/>
          <w:vertAlign w:val="superscript"/>
        </w:rPr>
        <w:t>3</w:t>
      </w:r>
      <w:r w:rsidRPr="00AE6BB3">
        <w:rPr>
          <w:b/>
        </w:rPr>
        <w:t xml:space="preserve"> a systém umožní průběžný monitoring měření spotřeby paliva, vyrobené el. energie, vyrobeného tepla, objemového podílu kyslíku ve spalinách, koncentrace NO</w:t>
      </w:r>
      <w:r w:rsidRPr="00AE6BB3">
        <w:rPr>
          <w:b/>
          <w:vertAlign w:val="subscript"/>
        </w:rPr>
        <w:t>X</w:t>
      </w:r>
      <w:r w:rsidRPr="00AE6BB3">
        <w:rPr>
          <w:b/>
        </w:rPr>
        <w:t xml:space="preserve">, teploty spalin a provozních hodin KGJ. Zároveň musí být demontovatelná na součásti, které je možné transportovat montážními otvory dle této studie. Elektrický výkon kogenerace bude 260 kWe </w:t>
      </w:r>
      <w:r w:rsidR="00A73377">
        <w:rPr>
          <w:rFonts w:cs="Arial"/>
          <w:b/>
        </w:rPr>
        <w:t>±</w:t>
      </w:r>
      <w:r w:rsidRPr="00AE6BB3">
        <w:rPr>
          <w:b/>
        </w:rPr>
        <w:t xml:space="preserve"> 10</w:t>
      </w:r>
      <w:r>
        <w:rPr>
          <w:b/>
        </w:rPr>
        <w:t xml:space="preserve"> </w:t>
      </w:r>
      <w:r w:rsidRPr="00AE6BB3">
        <w:rPr>
          <w:b/>
        </w:rPr>
        <w:t>%</w:t>
      </w:r>
      <w:r>
        <w:rPr>
          <w:b/>
        </w:rPr>
        <w:t>.</w:t>
      </w:r>
    </w:p>
    <w:p w:rsidR="00AE6BB3" w:rsidRPr="00AE6BB3" w:rsidRDefault="00AE6BB3" w:rsidP="00AE6BB3">
      <w:pPr>
        <w:rPr>
          <w:b/>
        </w:rPr>
      </w:pPr>
      <w:r w:rsidRPr="00AE6BB3">
        <w:rPr>
          <w:b/>
        </w:rPr>
        <w:t xml:space="preserve">Dokumentace pro stavební povolení bude zpracována v rozsahu vyhlášky 499/2006 </w:t>
      </w:r>
      <w:r>
        <w:rPr>
          <w:b/>
        </w:rPr>
        <w:t xml:space="preserve">Sb. </w:t>
      </w:r>
      <w:r w:rsidRPr="00AE6BB3">
        <w:rPr>
          <w:b/>
        </w:rPr>
        <w:t xml:space="preserve">v aktuálním znění. </w:t>
      </w:r>
    </w:p>
    <w:p w:rsidR="00AE6BB3" w:rsidRPr="00AE6BB3" w:rsidRDefault="00AE6BB3" w:rsidP="00AF0311">
      <w:pPr>
        <w:pStyle w:val="Nadpis2"/>
      </w:pPr>
      <w:bookmarkStart w:id="142" w:name="_Toc58949394"/>
      <w:r w:rsidRPr="00AE6BB3">
        <w:t>Rozsah projektové dokumentace</w:t>
      </w:r>
      <w:r w:rsidR="00A73377">
        <w:t>.</w:t>
      </w:r>
      <w:bookmarkEnd w:id="142"/>
    </w:p>
    <w:p w:rsidR="00AE6BB3" w:rsidRPr="00AE6BB3" w:rsidRDefault="00AE6BB3" w:rsidP="00AE6BB3">
      <w:r w:rsidRPr="00AE6BB3">
        <w:t>Příloha č. 13 k vyhlášce č. 499/2006 Sb.</w:t>
      </w:r>
    </w:p>
    <w:p w:rsidR="00AE6BB3" w:rsidRPr="00AE6BB3" w:rsidRDefault="00AE6BB3" w:rsidP="00AE6BB3">
      <w:pPr>
        <w:rPr>
          <w:b/>
        </w:rPr>
      </w:pPr>
      <w:r w:rsidRPr="00AE6BB3">
        <w:rPr>
          <w:b/>
        </w:rPr>
        <w:t>Rozsah a obsah projektové dokumentace pro ohlášení stavby uvedené v § 104 odst. 1 písm. a) až e) stavebního zákona nebo pro vydání stavebního povolení</w:t>
      </w:r>
      <w:r>
        <w:rPr>
          <w:b/>
        </w:rPr>
        <w:t>.</w:t>
      </w:r>
    </w:p>
    <w:p w:rsidR="00945F96" w:rsidRDefault="00AE6BB3" w:rsidP="00AF0311">
      <w:pPr>
        <w:pStyle w:val="Nadpis3"/>
      </w:pPr>
      <w:bookmarkStart w:id="143" w:name="_Toc58949395"/>
      <w:r w:rsidRPr="00AE6BB3">
        <w:t xml:space="preserve">Rozsah a </w:t>
      </w:r>
      <w:r w:rsidRPr="00AF0311">
        <w:t>obsah</w:t>
      </w:r>
      <w:r w:rsidRPr="00AE6BB3">
        <w:t xml:space="preserve"> dokumentace pro vydání stavebního povolení</w:t>
      </w:r>
      <w:r>
        <w:t>.</w:t>
      </w:r>
      <w:bookmarkEnd w:id="143"/>
    </w:p>
    <w:p w:rsidR="00A73377" w:rsidRPr="00405BA3" w:rsidRDefault="00A73377" w:rsidP="00A73377">
      <w:pPr>
        <w:pStyle w:val="Odstavecseseznamem"/>
        <w:numPr>
          <w:ilvl w:val="0"/>
          <w:numId w:val="35"/>
        </w:numPr>
      </w:pPr>
      <w:r w:rsidRPr="00405BA3">
        <w:t>Průvodní zpráva</w:t>
      </w:r>
    </w:p>
    <w:p w:rsidR="00A73377" w:rsidRPr="00405BA3" w:rsidRDefault="00A73377" w:rsidP="00A73377">
      <w:pPr>
        <w:pStyle w:val="Odstavecseseznamem"/>
        <w:numPr>
          <w:ilvl w:val="0"/>
          <w:numId w:val="35"/>
        </w:numPr>
      </w:pPr>
      <w:r w:rsidRPr="00405BA3">
        <w:t>Souhrnná technická zpráva</w:t>
      </w:r>
    </w:p>
    <w:p w:rsidR="00A73377" w:rsidRPr="00405BA3" w:rsidRDefault="00A73377" w:rsidP="00A73377">
      <w:pPr>
        <w:pStyle w:val="Odstavecseseznamem"/>
        <w:numPr>
          <w:ilvl w:val="0"/>
          <w:numId w:val="35"/>
        </w:numPr>
      </w:pPr>
      <w:r w:rsidRPr="00405BA3">
        <w:t>Situační výkresy</w:t>
      </w:r>
    </w:p>
    <w:p w:rsidR="00A73377" w:rsidRPr="00405BA3" w:rsidRDefault="00A73377" w:rsidP="00A73377">
      <w:pPr>
        <w:pStyle w:val="Odstavecseseznamem"/>
        <w:numPr>
          <w:ilvl w:val="1"/>
          <w:numId w:val="36"/>
        </w:numPr>
      </w:pPr>
      <w:r>
        <w:t xml:space="preserve"> </w:t>
      </w:r>
      <w:r w:rsidRPr="00405BA3">
        <w:t>Situační výkres širších vztahů</w:t>
      </w:r>
    </w:p>
    <w:p w:rsidR="00A73377" w:rsidRPr="00405BA3" w:rsidRDefault="00A73377" w:rsidP="00A73377">
      <w:pPr>
        <w:pStyle w:val="Odstavecseseznamem"/>
        <w:numPr>
          <w:ilvl w:val="1"/>
          <w:numId w:val="36"/>
        </w:numPr>
      </w:pPr>
      <w:r>
        <w:t xml:space="preserve"> </w:t>
      </w:r>
      <w:r w:rsidRPr="00405BA3">
        <w:t>Katastrální situační výkres</w:t>
      </w:r>
    </w:p>
    <w:p w:rsidR="00A73377" w:rsidRPr="00405BA3" w:rsidRDefault="00A73377" w:rsidP="00A73377">
      <w:pPr>
        <w:pStyle w:val="Odstavecseseznamem"/>
        <w:numPr>
          <w:ilvl w:val="1"/>
          <w:numId w:val="36"/>
        </w:numPr>
      </w:pPr>
      <w:r>
        <w:t xml:space="preserve"> </w:t>
      </w:r>
      <w:r w:rsidRPr="00405BA3">
        <w:t>Koordinační situační výkres</w:t>
      </w:r>
    </w:p>
    <w:p w:rsidR="00A73377" w:rsidRPr="00405BA3" w:rsidRDefault="00A73377" w:rsidP="00A73377">
      <w:pPr>
        <w:pStyle w:val="Odstavecseseznamem"/>
        <w:numPr>
          <w:ilvl w:val="0"/>
          <w:numId w:val="35"/>
        </w:numPr>
      </w:pPr>
      <w:r w:rsidRPr="00405BA3">
        <w:t>Dokumentace objektů a technických a technologických zařízení</w:t>
      </w:r>
    </w:p>
    <w:p w:rsidR="00A73377" w:rsidRPr="00405BA3" w:rsidRDefault="00A73377" w:rsidP="00A73377">
      <w:pPr>
        <w:pStyle w:val="Odstavecseseznamem"/>
        <w:numPr>
          <w:ilvl w:val="1"/>
          <w:numId w:val="37"/>
        </w:numPr>
      </w:pPr>
      <w:r>
        <w:t xml:space="preserve"> </w:t>
      </w:r>
      <w:r w:rsidRPr="00405BA3">
        <w:t>Dokumentace stavebního nebo inženýrského objektu</w:t>
      </w:r>
    </w:p>
    <w:p w:rsidR="00A73377" w:rsidRPr="00405BA3" w:rsidRDefault="00A73377" w:rsidP="00A73377">
      <w:pPr>
        <w:pStyle w:val="Odstavecseseznamem"/>
        <w:numPr>
          <w:ilvl w:val="1"/>
          <w:numId w:val="37"/>
        </w:numPr>
      </w:pPr>
      <w:r>
        <w:t xml:space="preserve"> </w:t>
      </w:r>
      <w:r w:rsidRPr="00405BA3">
        <w:t>Architektonicko-stavební řešení</w:t>
      </w:r>
    </w:p>
    <w:p w:rsidR="00A73377" w:rsidRPr="00405BA3" w:rsidRDefault="00A73377" w:rsidP="00A73377">
      <w:pPr>
        <w:pStyle w:val="Odstavecseseznamem"/>
        <w:numPr>
          <w:ilvl w:val="1"/>
          <w:numId w:val="37"/>
        </w:numPr>
      </w:pPr>
      <w:r>
        <w:t xml:space="preserve"> </w:t>
      </w:r>
      <w:r w:rsidRPr="00405BA3">
        <w:t>Stavebně konstrukční řešení</w:t>
      </w:r>
    </w:p>
    <w:p w:rsidR="00A73377" w:rsidRPr="00405BA3" w:rsidRDefault="00A73377" w:rsidP="00A73377">
      <w:pPr>
        <w:pStyle w:val="Odstavecseseznamem"/>
        <w:numPr>
          <w:ilvl w:val="1"/>
          <w:numId w:val="37"/>
        </w:numPr>
      </w:pPr>
      <w:r>
        <w:t xml:space="preserve"> </w:t>
      </w:r>
      <w:r w:rsidRPr="00405BA3">
        <w:t>Požárně bezpečnostní řešení</w:t>
      </w:r>
    </w:p>
    <w:p w:rsidR="00A73377" w:rsidRDefault="00A73377" w:rsidP="00A73377">
      <w:pPr>
        <w:pStyle w:val="Odstavecseseznamem"/>
        <w:numPr>
          <w:ilvl w:val="1"/>
          <w:numId w:val="37"/>
        </w:numPr>
      </w:pPr>
      <w:r>
        <w:t xml:space="preserve"> </w:t>
      </w:r>
      <w:r w:rsidRPr="00405BA3">
        <w:t>Technika prostředí staveb</w:t>
      </w:r>
    </w:p>
    <w:p w:rsidR="00A73377" w:rsidRDefault="00AF0311" w:rsidP="00A73377">
      <w:pPr>
        <w:pStyle w:val="Odstavecseseznamem"/>
        <w:numPr>
          <w:ilvl w:val="2"/>
          <w:numId w:val="35"/>
        </w:numPr>
        <w:spacing w:before="0" w:after="200"/>
      </w:pPr>
      <w:r>
        <w:t xml:space="preserve">   </w:t>
      </w:r>
      <w:r w:rsidR="00A73377">
        <w:t>Rozvody chladu po budově</w:t>
      </w:r>
    </w:p>
    <w:p w:rsidR="00A73377" w:rsidRDefault="00AF0311" w:rsidP="00AF0311">
      <w:pPr>
        <w:pStyle w:val="Odstavecseseznamem"/>
        <w:ind w:left="1080"/>
      </w:pPr>
      <w:r>
        <w:t xml:space="preserve">D.2 </w:t>
      </w:r>
      <w:r>
        <w:tab/>
        <w:t xml:space="preserve"> </w:t>
      </w:r>
      <w:r w:rsidR="00A73377" w:rsidRPr="00405BA3">
        <w:t>Dokumentace technických a technologických zařízení</w:t>
      </w:r>
    </w:p>
    <w:p w:rsidR="00AF0311" w:rsidRDefault="00AF0311" w:rsidP="00AF0311">
      <w:pPr>
        <w:pStyle w:val="Odstavecseseznamem"/>
        <w:numPr>
          <w:ilvl w:val="0"/>
          <w:numId w:val="39"/>
        </w:numPr>
        <w:spacing w:before="0" w:after="200"/>
      </w:pPr>
      <w:r>
        <w:t>Kogenerační jednotka, zakomponování do topného systému včetně akumulačních nádrží (oprava stávajících)</w:t>
      </w:r>
      <w:r w:rsidR="005D2E0C">
        <w:t xml:space="preserve">, rozvod plynu, vzduchotechnika (zvýšené požadavky na odvod tepelné zátěže zpod kapoty motoru) </w:t>
      </w:r>
    </w:p>
    <w:p w:rsidR="00AF0311" w:rsidRDefault="00AF0311" w:rsidP="00AF0311">
      <w:pPr>
        <w:pStyle w:val="Odstavecseseznamem"/>
        <w:numPr>
          <w:ilvl w:val="0"/>
          <w:numId w:val="39"/>
        </w:numPr>
        <w:spacing w:before="0" w:after="200"/>
      </w:pPr>
      <w:r>
        <w:t>Vyvedení elektrického výkonu, přenos signálu přes HDO, řízení jednotky v souladu s požadavky distributora elektrické energie</w:t>
      </w:r>
    </w:p>
    <w:p w:rsidR="00AF0311" w:rsidRPr="00405BA3" w:rsidRDefault="00AF0311" w:rsidP="00AF0311">
      <w:pPr>
        <w:pStyle w:val="Odstavecseseznamem"/>
        <w:numPr>
          <w:ilvl w:val="0"/>
          <w:numId w:val="39"/>
        </w:numPr>
        <w:spacing w:before="0" w:after="200"/>
      </w:pPr>
      <w:r>
        <w:t>Systém měření a regulace</w:t>
      </w:r>
    </w:p>
    <w:p w:rsidR="00AF0311" w:rsidRDefault="00AF0311" w:rsidP="00AF0311">
      <w:pPr>
        <w:pStyle w:val="Odstavecseseznamem"/>
        <w:numPr>
          <w:ilvl w:val="0"/>
          <w:numId w:val="39"/>
        </w:numPr>
        <w:spacing w:before="0" w:after="200"/>
      </w:pPr>
      <w:r>
        <w:t>Chlazení</w:t>
      </w:r>
    </w:p>
    <w:p w:rsidR="00AF0311" w:rsidRDefault="00AF0311" w:rsidP="00AF0311">
      <w:pPr>
        <w:pStyle w:val="Odstavecseseznamem"/>
        <w:numPr>
          <w:ilvl w:val="0"/>
          <w:numId w:val="39"/>
        </w:numPr>
        <w:spacing w:before="0" w:after="200"/>
      </w:pPr>
      <w:r>
        <w:t>Napojení elektro chlazení – provozní rozvod silnoproudu</w:t>
      </w:r>
    </w:p>
    <w:p w:rsidR="00AF0311" w:rsidRDefault="00AF0311" w:rsidP="00AF0311">
      <w:pPr>
        <w:pStyle w:val="Odstavecseseznamem"/>
        <w:numPr>
          <w:ilvl w:val="0"/>
          <w:numId w:val="39"/>
        </w:numPr>
        <w:spacing w:before="0" w:after="200"/>
      </w:pPr>
      <w:r>
        <w:t>Systém měření a regulace – rozšíření stávajícího systému, napojení na dispečink, parametrizace dispečinku, komunikace (předpoklad BACNET)</w:t>
      </w:r>
    </w:p>
    <w:p w:rsidR="00AF0311" w:rsidRPr="00AF0311" w:rsidRDefault="00AF0311" w:rsidP="00AF0311">
      <w:pPr>
        <w:spacing w:before="0" w:after="200"/>
        <w:rPr>
          <w:b/>
        </w:rPr>
      </w:pPr>
      <w:r w:rsidRPr="00AF0311">
        <w:rPr>
          <w:b/>
        </w:rPr>
        <w:t>Součástí dokumentace bude taktéž plán organizace výstavby a projekt DIO – Dopravně inženýrských opatření při stěhování a umísťování jak kogenerační jednotky tak zvláště chladícího stroje.</w:t>
      </w:r>
    </w:p>
    <w:p w:rsidR="00AF0311" w:rsidRPr="00405BA3" w:rsidRDefault="00AF0311" w:rsidP="00AF0311">
      <w:pPr>
        <w:rPr>
          <w:b/>
          <w:bCs/>
        </w:rPr>
      </w:pPr>
      <w:r w:rsidRPr="00405BA3">
        <w:rPr>
          <w:b/>
          <w:bCs/>
        </w:rPr>
        <w:t>Dokladová část</w:t>
      </w:r>
    </w:p>
    <w:p w:rsidR="00AF0311" w:rsidRPr="00405BA3" w:rsidRDefault="00AF0311" w:rsidP="00AF0311">
      <w:r w:rsidRPr="00405BA3">
        <w:t>Dokladová část obsahuje doklady o splnění požadavků podle jiných právních předpisů vydané příslušnými správními orgány nebo příslušnými osobami a dokumentaci zpracovanou osobami oprávněnými podle jiných právních předpisů.</w:t>
      </w:r>
    </w:p>
    <w:p w:rsidR="00AF0311" w:rsidRDefault="00AF0311" w:rsidP="00AF0311">
      <w:r w:rsidRPr="00405BA3">
        <w:rPr>
          <w:b/>
          <w:bCs/>
        </w:rPr>
        <w:t>1.</w:t>
      </w:r>
      <w:r w:rsidRPr="00405BA3">
        <w:t> Závazná stanoviska, stanoviska, rozhodnutí, vyjádření dotčených orgánů</w:t>
      </w:r>
    </w:p>
    <w:p w:rsidR="00AF0311" w:rsidRDefault="00AF0311" w:rsidP="00AF0311">
      <w:r>
        <w:t>Seznam dotčených orgánů státní správy (DOSS) bude stanoven podrobně místně příslušným stavebním úřadem. Doporučujeme předjednat seznam DOSS již při zahájení prací na projektové dokumentaci.</w:t>
      </w:r>
    </w:p>
    <w:p w:rsidR="00AF0311" w:rsidRDefault="00AF0311" w:rsidP="00AF0311">
      <w:r>
        <w:t>Předpokládáme následující DOSS:</w:t>
      </w:r>
    </w:p>
    <w:p w:rsidR="00AF0311" w:rsidRDefault="00AF0311" w:rsidP="00AF0311">
      <w:pPr>
        <w:pStyle w:val="Odstavecseseznamem"/>
        <w:numPr>
          <w:ilvl w:val="0"/>
          <w:numId w:val="41"/>
        </w:numPr>
        <w:spacing w:before="0" w:after="200"/>
      </w:pPr>
      <w:r>
        <w:t>Magistrát HMP – koordinované stanovisko krajského úřadu (více odborů)</w:t>
      </w:r>
    </w:p>
    <w:p w:rsidR="00AF0311" w:rsidRDefault="00AF0311" w:rsidP="00AF0311">
      <w:pPr>
        <w:pStyle w:val="Odstavecseseznamem"/>
        <w:numPr>
          <w:ilvl w:val="0"/>
          <w:numId w:val="41"/>
        </w:numPr>
        <w:spacing w:before="0" w:after="200"/>
      </w:pPr>
      <w:r>
        <w:t>Magistrát HMP – odbor životního prostředí – referát ochrany ovzduší – rozšíření zdroje znečistění (povolení dle zák. 201/2012 o ochraně ovzduší)</w:t>
      </w:r>
    </w:p>
    <w:p w:rsidR="00AF0311" w:rsidRDefault="00AF0311" w:rsidP="00AF0311">
      <w:pPr>
        <w:pStyle w:val="Odstavecseseznamem"/>
        <w:numPr>
          <w:ilvl w:val="0"/>
          <w:numId w:val="41"/>
        </w:numPr>
        <w:spacing w:before="0" w:after="200"/>
      </w:pPr>
      <w:r>
        <w:t>Úřad MČ Praha 1 – odbor životního prostředí – nakládání s odpady</w:t>
      </w:r>
    </w:p>
    <w:p w:rsidR="00AF0311" w:rsidRDefault="00AF0311" w:rsidP="00AF0311">
      <w:pPr>
        <w:pStyle w:val="Odstavecseseznamem"/>
        <w:numPr>
          <w:ilvl w:val="0"/>
          <w:numId w:val="41"/>
        </w:numPr>
        <w:spacing w:before="0" w:after="200"/>
      </w:pPr>
      <w:r>
        <w:t>Úřad MČ Praha 1 – koordinované stanovisko (více odborů)</w:t>
      </w:r>
    </w:p>
    <w:p w:rsidR="00AF0311" w:rsidRDefault="00AF0311" w:rsidP="00AF0311">
      <w:pPr>
        <w:pStyle w:val="Odstavecseseznamem"/>
        <w:numPr>
          <w:ilvl w:val="0"/>
          <w:numId w:val="41"/>
        </w:numPr>
        <w:spacing w:before="0" w:after="200"/>
      </w:pPr>
      <w:r>
        <w:t>Policie ČR, krajské ředitelství (DIO)</w:t>
      </w:r>
    </w:p>
    <w:p w:rsidR="00AF0311" w:rsidRDefault="00AF0311" w:rsidP="00AF0311">
      <w:pPr>
        <w:pStyle w:val="Odstavecseseznamem"/>
        <w:numPr>
          <w:ilvl w:val="0"/>
          <w:numId w:val="41"/>
        </w:numPr>
        <w:spacing w:before="0" w:after="200"/>
      </w:pPr>
      <w:r>
        <w:t>Oblastní inspektorát práce</w:t>
      </w:r>
    </w:p>
    <w:p w:rsidR="00AF0311" w:rsidRDefault="00AF0311" w:rsidP="00AF0311">
      <w:pPr>
        <w:pStyle w:val="Odstavecseseznamem"/>
        <w:numPr>
          <w:ilvl w:val="0"/>
          <w:numId w:val="41"/>
        </w:numPr>
        <w:spacing w:before="0" w:after="200"/>
      </w:pPr>
      <w:r>
        <w:t>Distributor zemního plynu</w:t>
      </w:r>
    </w:p>
    <w:p w:rsidR="00AF0311" w:rsidRDefault="00AF0311" w:rsidP="00AF0311">
      <w:pPr>
        <w:pStyle w:val="Odstavecseseznamem"/>
        <w:numPr>
          <w:ilvl w:val="0"/>
          <w:numId w:val="41"/>
        </w:numPr>
        <w:spacing w:before="0" w:after="200"/>
      </w:pPr>
      <w:r>
        <w:t>Distributor elektrické energie – souhlas s napojením KGJ</w:t>
      </w:r>
    </w:p>
    <w:p w:rsidR="00AF0311" w:rsidRDefault="00AF0311" w:rsidP="00AF0311">
      <w:pPr>
        <w:pStyle w:val="Odstavecseseznamem"/>
        <w:numPr>
          <w:ilvl w:val="0"/>
          <w:numId w:val="41"/>
        </w:numPr>
        <w:spacing w:before="0" w:after="200"/>
      </w:pPr>
      <w:r>
        <w:t>Krajská hygienická stanice</w:t>
      </w:r>
    </w:p>
    <w:p w:rsidR="00AF0311" w:rsidRDefault="00AF0311" w:rsidP="00AF0311">
      <w:pPr>
        <w:pStyle w:val="Odstavecseseznamem"/>
        <w:numPr>
          <w:ilvl w:val="0"/>
          <w:numId w:val="41"/>
        </w:numPr>
        <w:spacing w:before="0" w:after="200"/>
      </w:pPr>
      <w:r>
        <w:t>Hasičský záchranný sbor</w:t>
      </w:r>
    </w:p>
    <w:p w:rsidR="00AF0311" w:rsidRPr="00405BA3" w:rsidRDefault="00AF0311" w:rsidP="00AF0311">
      <w:pPr>
        <w:pStyle w:val="Odstavecseseznamem"/>
        <w:numPr>
          <w:ilvl w:val="0"/>
          <w:numId w:val="41"/>
        </w:numPr>
        <w:spacing w:before="0" w:after="200"/>
      </w:pPr>
      <w:r>
        <w:t>Další dle požadavků stavebního úřadu</w:t>
      </w:r>
    </w:p>
    <w:p w:rsidR="00AF0311" w:rsidRPr="00405BA3" w:rsidRDefault="00AF0311" w:rsidP="00AF0311">
      <w:r w:rsidRPr="00405BA3">
        <w:rPr>
          <w:b/>
          <w:bCs/>
        </w:rPr>
        <w:t>2.</w:t>
      </w:r>
      <w:r w:rsidRPr="00405BA3">
        <w:t> Dokumentace vlivů záměru na životní prostředí</w:t>
      </w:r>
    </w:p>
    <w:p w:rsidR="00AF0311" w:rsidRPr="00405BA3" w:rsidRDefault="00AF0311" w:rsidP="00AF0311">
      <w:pPr>
        <w:rPr>
          <w:i/>
        </w:rPr>
      </w:pPr>
      <w:r w:rsidRPr="00405BA3">
        <w:rPr>
          <w:i/>
        </w:rPr>
        <w:t>Rozptylová studie a odborný posudek dle zákona o ochraně ovzduší</w:t>
      </w:r>
      <w:r>
        <w:rPr>
          <w:i/>
        </w:rPr>
        <w:t xml:space="preserve"> do celkového příkonu 5 MW (součet příkonů) nejsou vyžadovány.</w:t>
      </w:r>
    </w:p>
    <w:p w:rsidR="00AF0311" w:rsidRPr="00405BA3" w:rsidRDefault="00AF0311" w:rsidP="00AF0311">
      <w:pPr>
        <w:rPr>
          <w:i/>
        </w:rPr>
      </w:pPr>
      <w:r w:rsidRPr="00405BA3">
        <w:rPr>
          <w:i/>
        </w:rPr>
        <w:t>Odborný posudek EIA se nepředpokládá a není součástí dokumentace</w:t>
      </w:r>
    </w:p>
    <w:p w:rsidR="00AF0311" w:rsidRDefault="00AF0311" w:rsidP="00AF0311">
      <w:r w:rsidRPr="00405BA3">
        <w:rPr>
          <w:b/>
          <w:bCs/>
        </w:rPr>
        <w:t>3.</w:t>
      </w:r>
      <w:r w:rsidRPr="00405BA3">
        <w:t> Doklad podle jiného právního předpisu</w:t>
      </w:r>
    </w:p>
    <w:p w:rsidR="00AF0311" w:rsidRPr="00405BA3" w:rsidRDefault="00AF0311" w:rsidP="00AF0311">
      <w:r>
        <w:t>Součástí projektové dokumentace bude i hluková studie (pro osazení kogenerační jednotky i chladícího stroje)</w:t>
      </w:r>
    </w:p>
    <w:p w:rsidR="00AF0311" w:rsidRPr="00405BA3" w:rsidRDefault="00AF0311" w:rsidP="00AF0311">
      <w:r w:rsidRPr="00405BA3">
        <w:rPr>
          <w:b/>
          <w:bCs/>
        </w:rPr>
        <w:t>4.</w:t>
      </w:r>
      <w:r w:rsidRPr="00405BA3">
        <w:t> Stanoviska vlastníků veřejné dopravní a technické infrastruktury</w:t>
      </w:r>
    </w:p>
    <w:p w:rsidR="00AF0311" w:rsidRPr="00405BA3" w:rsidRDefault="00AF0311" w:rsidP="00AF0311">
      <w:r>
        <w:rPr>
          <w:b/>
          <w:bCs/>
        </w:rPr>
        <w:t>5</w:t>
      </w:r>
      <w:r w:rsidRPr="00405BA3">
        <w:rPr>
          <w:b/>
          <w:bCs/>
        </w:rPr>
        <w:t>.</w:t>
      </w:r>
      <w:r w:rsidRPr="00405BA3">
        <w:t> Ostatní stanoviska, vyjádření, posudky, studie a výsledky jednání vedených v průběhu zpracování dokumentace</w:t>
      </w:r>
    </w:p>
    <w:p w:rsidR="00AF0311" w:rsidRPr="00405BA3" w:rsidRDefault="00AF0311" w:rsidP="00AF0311">
      <w:r w:rsidRPr="00405BA3">
        <w:t>Příloha č. 13 k vyhlášce č. 499/2006 Sb.</w:t>
      </w:r>
    </w:p>
    <w:p w:rsidR="00AF0311" w:rsidRPr="00405BA3" w:rsidRDefault="00AF0311" w:rsidP="00AF0311">
      <w:pPr>
        <w:rPr>
          <w:b/>
          <w:bCs/>
        </w:rPr>
      </w:pPr>
      <w:r w:rsidRPr="00405BA3">
        <w:rPr>
          <w:b/>
          <w:bCs/>
        </w:rPr>
        <w:t>Rozsah a obsah projektové dokumentace pro provádění stavby</w:t>
      </w:r>
      <w:r>
        <w:rPr>
          <w:b/>
          <w:bCs/>
        </w:rPr>
        <w:t xml:space="preserve"> bude zpracován zároveň v rozsahu odpovídajícím</w:t>
      </w:r>
      <w:r w:rsidRPr="002306E0">
        <w:rPr>
          <w:b/>
          <w:bCs/>
        </w:rPr>
        <w:t xml:space="preserve"> vyhláš</w:t>
      </w:r>
      <w:r>
        <w:rPr>
          <w:b/>
          <w:bCs/>
        </w:rPr>
        <w:t>ce</w:t>
      </w:r>
      <w:r w:rsidRPr="002306E0">
        <w:rPr>
          <w:b/>
          <w:bCs/>
        </w:rPr>
        <w:t xml:space="preserve"> č. 169/2016 Sb.</w:t>
      </w:r>
      <w:r>
        <w:rPr>
          <w:b/>
          <w:bCs/>
        </w:rPr>
        <w:t xml:space="preserve"> v platném znění</w:t>
      </w:r>
      <w:r w:rsidRPr="002306E0">
        <w:rPr>
          <w:b/>
          <w:bCs/>
        </w:rPr>
        <w:t xml:space="preserve">, která stanoví rozsah dokumentace pro zadání veřejné zakázky na stavební práce a rozsah soupisu prací u veřejné zakázky na zhotovení stavby. </w:t>
      </w:r>
    </w:p>
    <w:p w:rsidR="00AF0311" w:rsidRPr="00405BA3" w:rsidRDefault="00AF0311" w:rsidP="00AF0311">
      <w:pPr>
        <w:pStyle w:val="Nadpis3"/>
      </w:pPr>
      <w:bookmarkStart w:id="144" w:name="_Toc58949396"/>
      <w:r w:rsidRPr="00405BA3">
        <w:t xml:space="preserve">Rozsah a obsah dokumentace pro </w:t>
      </w:r>
      <w:r>
        <w:t>provádění stavby</w:t>
      </w:r>
      <w:bookmarkEnd w:id="144"/>
    </w:p>
    <w:p w:rsidR="00AF0311" w:rsidRPr="00AF0311" w:rsidRDefault="00AF0311" w:rsidP="00AF0311">
      <w:pPr>
        <w:numPr>
          <w:ilvl w:val="0"/>
          <w:numId w:val="42"/>
        </w:numPr>
        <w:contextualSpacing/>
      </w:pPr>
      <w:r w:rsidRPr="00AF0311">
        <w:t>Průvodní zpráva</w:t>
      </w:r>
    </w:p>
    <w:p w:rsidR="00AF0311" w:rsidRPr="00AF0311" w:rsidRDefault="00AF0311" w:rsidP="00AF0311">
      <w:pPr>
        <w:numPr>
          <w:ilvl w:val="0"/>
          <w:numId w:val="42"/>
        </w:numPr>
        <w:contextualSpacing/>
      </w:pPr>
      <w:r w:rsidRPr="00AF0311">
        <w:t>Souhrnná technická zpráva</w:t>
      </w:r>
    </w:p>
    <w:p w:rsidR="00AF0311" w:rsidRPr="00AF0311" w:rsidRDefault="00AF0311" w:rsidP="00AF0311">
      <w:pPr>
        <w:numPr>
          <w:ilvl w:val="0"/>
          <w:numId w:val="42"/>
        </w:numPr>
        <w:contextualSpacing/>
      </w:pPr>
      <w:r w:rsidRPr="00AF0311">
        <w:t>Situační výkresy</w:t>
      </w:r>
    </w:p>
    <w:p w:rsidR="00AF0311" w:rsidRPr="00AF0311" w:rsidRDefault="00AF0311" w:rsidP="00AF0311">
      <w:pPr>
        <w:numPr>
          <w:ilvl w:val="0"/>
          <w:numId w:val="43"/>
        </w:numPr>
        <w:contextualSpacing/>
      </w:pPr>
      <w:r w:rsidRPr="00AF0311">
        <w:t xml:space="preserve"> Situační výkres širších vztahů</w:t>
      </w:r>
    </w:p>
    <w:p w:rsidR="00AF0311" w:rsidRPr="00AF0311" w:rsidRDefault="00AF0311" w:rsidP="00AF0311">
      <w:pPr>
        <w:numPr>
          <w:ilvl w:val="0"/>
          <w:numId w:val="43"/>
        </w:numPr>
        <w:contextualSpacing/>
      </w:pPr>
      <w:r w:rsidRPr="00AF0311">
        <w:t xml:space="preserve"> Katastrální situační výkres</w:t>
      </w:r>
    </w:p>
    <w:p w:rsidR="00AF0311" w:rsidRPr="00AF0311" w:rsidRDefault="00AF0311" w:rsidP="00AF0311">
      <w:pPr>
        <w:numPr>
          <w:ilvl w:val="0"/>
          <w:numId w:val="43"/>
        </w:numPr>
        <w:contextualSpacing/>
      </w:pPr>
      <w:r w:rsidRPr="00AF0311">
        <w:t xml:space="preserve"> Koordinační situační výkres</w:t>
      </w:r>
    </w:p>
    <w:p w:rsidR="00AF0311" w:rsidRPr="00AF0311" w:rsidRDefault="00AF0311" w:rsidP="00AF0311">
      <w:pPr>
        <w:numPr>
          <w:ilvl w:val="0"/>
          <w:numId w:val="42"/>
        </w:numPr>
        <w:contextualSpacing/>
      </w:pPr>
      <w:r w:rsidRPr="00AF0311">
        <w:t>Dokumentace objektů a technických a technologických zařízení</w:t>
      </w:r>
    </w:p>
    <w:p w:rsidR="00AF0311" w:rsidRPr="00AF0311" w:rsidRDefault="00AF0311" w:rsidP="00AF0311">
      <w:pPr>
        <w:numPr>
          <w:ilvl w:val="0"/>
          <w:numId w:val="44"/>
        </w:numPr>
        <w:contextualSpacing/>
      </w:pPr>
      <w:r w:rsidRPr="00AF0311">
        <w:t xml:space="preserve"> Dokumentace stavebního nebo inženýrského objektu</w:t>
      </w:r>
    </w:p>
    <w:p w:rsidR="00AF0311" w:rsidRPr="00AF0311" w:rsidRDefault="00AF0311" w:rsidP="00AF0311">
      <w:pPr>
        <w:numPr>
          <w:ilvl w:val="0"/>
          <w:numId w:val="44"/>
        </w:numPr>
        <w:contextualSpacing/>
      </w:pPr>
      <w:r w:rsidRPr="00AF0311">
        <w:t xml:space="preserve"> Architektonicko-stavební řešení</w:t>
      </w:r>
    </w:p>
    <w:p w:rsidR="00AF0311" w:rsidRPr="00AF0311" w:rsidRDefault="00AF0311" w:rsidP="00AF0311">
      <w:pPr>
        <w:numPr>
          <w:ilvl w:val="0"/>
          <w:numId w:val="44"/>
        </w:numPr>
        <w:contextualSpacing/>
      </w:pPr>
      <w:r w:rsidRPr="00AF0311">
        <w:t xml:space="preserve"> Stavebně konstrukční řešení</w:t>
      </w:r>
    </w:p>
    <w:p w:rsidR="00AF0311" w:rsidRPr="00AF0311" w:rsidRDefault="00AF0311" w:rsidP="00AF0311">
      <w:pPr>
        <w:numPr>
          <w:ilvl w:val="0"/>
          <w:numId w:val="44"/>
        </w:numPr>
        <w:contextualSpacing/>
      </w:pPr>
      <w:r w:rsidRPr="00AF0311">
        <w:t xml:space="preserve"> Požárně bezpečnostní řešení</w:t>
      </w:r>
    </w:p>
    <w:p w:rsidR="00AF0311" w:rsidRPr="00AF0311" w:rsidRDefault="00AF0311" w:rsidP="00AF0311">
      <w:pPr>
        <w:numPr>
          <w:ilvl w:val="0"/>
          <w:numId w:val="44"/>
        </w:numPr>
        <w:contextualSpacing/>
      </w:pPr>
      <w:r w:rsidRPr="00AF0311">
        <w:t xml:space="preserve"> Technika prostředí staveb</w:t>
      </w:r>
    </w:p>
    <w:p w:rsidR="00AF0311" w:rsidRPr="00AF0311" w:rsidRDefault="00AF0311" w:rsidP="00AF0311">
      <w:pPr>
        <w:ind w:left="1080"/>
        <w:contextualSpacing/>
      </w:pPr>
      <w:r w:rsidRPr="00AF0311">
        <w:t xml:space="preserve">D.2 </w:t>
      </w:r>
      <w:r w:rsidRPr="00AF0311">
        <w:tab/>
        <w:t xml:space="preserve"> Dokumentace technických a technologických zařízení</w:t>
      </w:r>
    </w:p>
    <w:p w:rsidR="00AF0311" w:rsidRPr="00AF0311" w:rsidRDefault="00AF0311" w:rsidP="00AF0311">
      <w:pPr>
        <w:rPr>
          <w:b/>
        </w:rPr>
      </w:pPr>
      <w:r w:rsidRPr="00AF0311">
        <w:rPr>
          <w:b/>
        </w:rPr>
        <w:t>Dokladová část</w:t>
      </w:r>
    </w:p>
    <w:p w:rsidR="00AF0311" w:rsidRPr="00AF0311" w:rsidRDefault="00AF0311" w:rsidP="00AF0311">
      <w:r w:rsidRPr="00AF0311">
        <w:t>Dokladová část obsahuje doklady o splnění požadavků podle jiných právních předpisů vydané příslušnými správními orgány nebo příslušnými osobami a dokumentaci zpracovanou osobami oprávněnými podle jiných právních předpisů.</w:t>
      </w:r>
    </w:p>
    <w:p w:rsidR="00A73377" w:rsidRPr="00AE6BB3" w:rsidRDefault="00AF0311" w:rsidP="00AF0311">
      <w:pPr>
        <w:rPr>
          <w:b/>
        </w:rPr>
      </w:pPr>
      <w:r w:rsidRPr="00AF0311">
        <w:rPr>
          <w:b/>
        </w:rPr>
        <w:t>Výkaz výměr, kontrolní rozpočet v rozpočtové soustavě RTS nebo ÚRS bez uvedení obchodních názvů.</w:t>
      </w:r>
    </w:p>
    <w:p w:rsidR="005B713C" w:rsidRDefault="005B713C" w:rsidP="005B713C">
      <w:pPr>
        <w:pStyle w:val="Nadpis1"/>
      </w:pPr>
      <w:bookmarkStart w:id="145" w:name="_Toc58949397"/>
      <w:r>
        <w:t>FINANČNÍ ANALÝZA</w:t>
      </w:r>
      <w:bookmarkEnd w:id="145"/>
    </w:p>
    <w:p w:rsidR="00D33A97" w:rsidRDefault="00247702" w:rsidP="00247702">
      <w:r>
        <w:t>Finanční analýza je na základě domluvy s investorem provedena pouze pro pořízení a provoz KGJ, nepostihuje tedy pořízení a provoz chlazení. Je však zpracována jednak bez uvažování dotace ze Státního fondu životního prostředí ČR</w:t>
      </w:r>
      <w:r w:rsidR="00CC2A7D">
        <w:t>, jednak s jejím uvažováním. Dotace bude popsána v další části studie.</w:t>
      </w:r>
      <w:r w:rsidR="00D33A97">
        <w:t xml:space="preserve"> </w:t>
      </w:r>
    </w:p>
    <w:p w:rsidR="00D33A97" w:rsidRPr="00247702" w:rsidRDefault="00D33A97" w:rsidP="00247702">
      <w:r>
        <w:t>Následující ukázkový výpočet proběhne na variantě, která neuvažuje příjem dotace. Obě varianty (bez dotace, s ní) budou porovnány na základě kriteriálních ukazatelů v další kapitole</w:t>
      </w:r>
      <w:r w:rsidR="00556E9E">
        <w:t xml:space="preserve"> (Hodnocení efektivity a udržitelnosti projektu)</w:t>
      </w:r>
      <w:r>
        <w:t xml:space="preserve">. Finanční analýzy </w:t>
      </w:r>
      <w:r w:rsidR="00556E9E">
        <w:t xml:space="preserve">obou zmíněných variant jsou samozřejmě zpracovány v přílohách - </w:t>
      </w:r>
      <w:r w:rsidR="00556E9E">
        <w:fldChar w:fldCharType="begin"/>
      </w:r>
      <w:r w:rsidR="00556E9E">
        <w:instrText xml:space="preserve"> REF _Ref56448609 \h </w:instrText>
      </w:r>
      <w:r w:rsidR="00556E9E">
        <w:fldChar w:fldCharType="separate"/>
      </w:r>
      <w:r w:rsidR="00816426" w:rsidRPr="002410EE">
        <w:t xml:space="preserve">Příloha č. </w:t>
      </w:r>
      <w:r w:rsidR="00816426">
        <w:rPr>
          <w:noProof/>
        </w:rPr>
        <w:t>8</w:t>
      </w:r>
      <w:r w:rsidR="00556E9E">
        <w:fldChar w:fldCharType="end"/>
      </w:r>
      <w:r w:rsidR="00556E9E">
        <w:t xml:space="preserve">, respektive </w:t>
      </w:r>
      <w:r w:rsidR="00556E9E">
        <w:fldChar w:fldCharType="begin"/>
      </w:r>
      <w:r w:rsidR="00556E9E">
        <w:instrText xml:space="preserve"> REF _Ref58360459 \h </w:instrText>
      </w:r>
      <w:r w:rsidR="00556E9E">
        <w:fldChar w:fldCharType="separate"/>
      </w:r>
      <w:r w:rsidR="00816426">
        <w:t xml:space="preserve">Příloha č. </w:t>
      </w:r>
      <w:r w:rsidR="00816426">
        <w:rPr>
          <w:noProof/>
        </w:rPr>
        <w:t>9</w:t>
      </w:r>
      <w:r w:rsidR="00556E9E">
        <w:fldChar w:fldCharType="end"/>
      </w:r>
      <w:r w:rsidR="00556E9E">
        <w:t>.</w:t>
      </w:r>
    </w:p>
    <w:p w:rsidR="005B713C" w:rsidRDefault="005B713C" w:rsidP="005B713C">
      <w:pPr>
        <w:pStyle w:val="Nadpis3"/>
      </w:pPr>
      <w:bookmarkStart w:id="146" w:name="_Toc58949398"/>
      <w:r>
        <w:t>Finanční plán</w:t>
      </w:r>
      <w:bookmarkEnd w:id="146"/>
    </w:p>
    <w:p w:rsidR="005B713C" w:rsidRDefault="005B713C" w:rsidP="005B713C">
      <w:r>
        <w:t xml:space="preserve">Finanční plán, ze kterého je patrný průběh provozních, investičních nákladů a výnosů, je pro </w:t>
      </w:r>
      <w:r w:rsidR="00CC2A7D">
        <w:t>instalaci KGJ bez využití dotace</w:t>
      </w:r>
      <w:r>
        <w:t xml:space="preserve"> zachycen na </w:t>
      </w:r>
      <w:r>
        <w:fldChar w:fldCharType="begin"/>
      </w:r>
      <w:r>
        <w:instrText xml:space="preserve"> REF _Ref56694725 \h </w:instrText>
      </w:r>
      <w:r>
        <w:fldChar w:fldCharType="separate"/>
      </w:r>
      <w:r w:rsidR="00816426">
        <w:t xml:space="preserve">Obr. </w:t>
      </w:r>
      <w:r w:rsidR="00816426">
        <w:rPr>
          <w:noProof/>
        </w:rPr>
        <w:t>20</w:t>
      </w:r>
      <w:r>
        <w:fldChar w:fldCharType="end"/>
      </w:r>
      <w:r>
        <w:t xml:space="preserve">, </w:t>
      </w:r>
      <w:r>
        <w:fldChar w:fldCharType="begin"/>
      </w:r>
      <w:r>
        <w:instrText xml:space="preserve"> REF _Ref56694745 \h </w:instrText>
      </w:r>
      <w:r>
        <w:fldChar w:fldCharType="separate"/>
      </w:r>
      <w:r w:rsidR="00816426">
        <w:t xml:space="preserve">Obr. </w:t>
      </w:r>
      <w:r w:rsidR="00816426">
        <w:rPr>
          <w:noProof/>
        </w:rPr>
        <w:t>21</w:t>
      </w:r>
      <w:r>
        <w:fldChar w:fldCharType="end"/>
      </w:r>
      <w:r>
        <w:t xml:space="preserve"> a na </w:t>
      </w:r>
      <w:r>
        <w:fldChar w:fldCharType="begin"/>
      </w:r>
      <w:r>
        <w:instrText xml:space="preserve"> REF _Ref56694754 \h </w:instrText>
      </w:r>
      <w:r>
        <w:fldChar w:fldCharType="separate"/>
      </w:r>
      <w:r w:rsidR="00816426">
        <w:t xml:space="preserve">Obr. </w:t>
      </w:r>
      <w:r w:rsidR="00816426">
        <w:rPr>
          <w:noProof/>
        </w:rPr>
        <w:t>22</w:t>
      </w:r>
      <w:r>
        <w:fldChar w:fldCharType="end"/>
      </w:r>
      <w:r>
        <w:t>.</w:t>
      </w:r>
    </w:p>
    <w:p w:rsidR="005B713C" w:rsidRPr="005B713C" w:rsidRDefault="005B713C" w:rsidP="005B713C">
      <w:pPr>
        <w:sectPr w:rsidR="005B713C" w:rsidRPr="005B713C" w:rsidSect="00085676">
          <w:pgSz w:w="11906" w:h="16838"/>
          <w:pgMar w:top="1417" w:right="1417" w:bottom="1417" w:left="1417" w:header="709" w:footer="709" w:gutter="0"/>
          <w:cols w:space="708"/>
          <w:docGrid w:linePitch="360"/>
        </w:sect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44"/>
      </w:tblGrid>
      <w:tr w:rsidR="00B82808" w:rsidTr="004E660E">
        <w:tc>
          <w:tcPr>
            <w:tcW w:w="14144" w:type="dxa"/>
          </w:tcPr>
          <w:p w:rsidR="00B82808" w:rsidRDefault="005347D0" w:rsidP="00B82808">
            <w:pPr>
              <w:keepNext/>
              <w:jc w:val="center"/>
            </w:pPr>
            <w:r w:rsidRPr="005347D0">
              <w:rPr>
                <w:noProof/>
                <w:lang w:eastAsia="cs-CZ"/>
              </w:rPr>
              <w:drawing>
                <wp:inline distT="0" distB="0" distL="0" distR="0" wp14:anchorId="01E42961" wp14:editId="29142DDB">
                  <wp:extent cx="8734425" cy="3895725"/>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734425" cy="3895725"/>
                          </a:xfrm>
                          <a:prstGeom prst="rect">
                            <a:avLst/>
                          </a:prstGeom>
                          <a:noFill/>
                          <a:ln>
                            <a:noFill/>
                          </a:ln>
                        </pic:spPr>
                      </pic:pic>
                    </a:graphicData>
                  </a:graphic>
                </wp:inline>
              </w:drawing>
            </w:r>
          </w:p>
        </w:tc>
      </w:tr>
      <w:tr w:rsidR="00B82808" w:rsidTr="004E660E">
        <w:tc>
          <w:tcPr>
            <w:tcW w:w="14144" w:type="dxa"/>
          </w:tcPr>
          <w:p w:rsidR="00B82808" w:rsidRDefault="00B82808" w:rsidP="00055D7E">
            <w:pPr>
              <w:pStyle w:val="Obrzek"/>
            </w:pPr>
            <w:bookmarkStart w:id="147" w:name="_Ref56694725"/>
            <w:r>
              <w:t xml:space="preserve">Obr. </w:t>
            </w:r>
            <w:fldSimple w:instr=" SEQ Obr. \* ARABIC ">
              <w:r w:rsidR="00816426">
                <w:rPr>
                  <w:noProof/>
                </w:rPr>
                <w:t>20</w:t>
              </w:r>
            </w:fldSimple>
            <w:bookmarkEnd w:id="147"/>
            <w:r>
              <w:t xml:space="preserve"> Finanční plán – Varianta B – Část 1 (součást finanční analýzy pro variantu </w:t>
            </w:r>
            <w:r w:rsidR="00055D7E">
              <w:t>bez dotace SFŽP ČR</w:t>
            </w:r>
            <w:r>
              <w:t xml:space="preserve"> – </w:t>
            </w:r>
            <w:r w:rsidR="00EB12A1">
              <w:fldChar w:fldCharType="begin"/>
            </w:r>
            <w:r w:rsidR="00EB12A1">
              <w:instrText xml:space="preserve"> REF _Ref56448609 \h </w:instrText>
            </w:r>
            <w:r w:rsidR="00EB12A1">
              <w:fldChar w:fldCharType="separate"/>
            </w:r>
            <w:r w:rsidR="00816426" w:rsidRPr="002410EE">
              <w:t xml:space="preserve">Příloha č. </w:t>
            </w:r>
            <w:r w:rsidR="00816426">
              <w:rPr>
                <w:noProof/>
              </w:rPr>
              <w:t>8</w:t>
            </w:r>
            <w:r w:rsidR="00EB12A1">
              <w:fldChar w:fldCharType="end"/>
            </w:r>
            <w:r>
              <w:t>)</w:t>
            </w:r>
          </w:p>
        </w:tc>
      </w:tr>
    </w:tbl>
    <w:p w:rsidR="00B82808" w:rsidRDefault="00B82808" w:rsidP="00B82808"/>
    <w:p w:rsidR="00CC2A7D" w:rsidRDefault="00CC2A7D" w:rsidP="00B82808"/>
    <w:p w:rsidR="00CC2A7D" w:rsidRDefault="00CC2A7D" w:rsidP="00B82808"/>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44"/>
      </w:tblGrid>
      <w:tr w:rsidR="00EB12A1" w:rsidTr="004E660E">
        <w:tc>
          <w:tcPr>
            <w:tcW w:w="14144" w:type="dxa"/>
          </w:tcPr>
          <w:p w:rsidR="00EB12A1" w:rsidRDefault="005347D0" w:rsidP="00EB12A1">
            <w:pPr>
              <w:keepNext/>
              <w:jc w:val="center"/>
            </w:pPr>
            <w:r w:rsidRPr="005347D0">
              <w:rPr>
                <w:noProof/>
                <w:lang w:eastAsia="cs-CZ"/>
              </w:rPr>
              <w:drawing>
                <wp:inline distT="0" distB="0" distL="0" distR="0" wp14:anchorId="062FE635" wp14:editId="769F39D8">
                  <wp:extent cx="8734425" cy="3895725"/>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734425" cy="3895725"/>
                          </a:xfrm>
                          <a:prstGeom prst="rect">
                            <a:avLst/>
                          </a:prstGeom>
                          <a:noFill/>
                          <a:ln>
                            <a:noFill/>
                          </a:ln>
                        </pic:spPr>
                      </pic:pic>
                    </a:graphicData>
                  </a:graphic>
                </wp:inline>
              </w:drawing>
            </w:r>
          </w:p>
        </w:tc>
      </w:tr>
      <w:tr w:rsidR="00EB12A1" w:rsidTr="004E660E">
        <w:tc>
          <w:tcPr>
            <w:tcW w:w="14144" w:type="dxa"/>
          </w:tcPr>
          <w:p w:rsidR="00EB12A1" w:rsidRDefault="00EB12A1" w:rsidP="00055D7E">
            <w:pPr>
              <w:pStyle w:val="Obrzek"/>
            </w:pPr>
            <w:bookmarkStart w:id="148" w:name="_Ref56694745"/>
            <w:r>
              <w:t xml:space="preserve">Obr. </w:t>
            </w:r>
            <w:fldSimple w:instr=" SEQ Obr. \* ARABIC ">
              <w:r w:rsidR="00816426">
                <w:rPr>
                  <w:noProof/>
                </w:rPr>
                <w:t>21</w:t>
              </w:r>
            </w:fldSimple>
            <w:bookmarkEnd w:id="148"/>
            <w:r>
              <w:t xml:space="preserve"> Finanční plán – Varianta B – Část 2 (součást finanční analýzy pro variantu </w:t>
            </w:r>
            <w:r w:rsidR="00055D7E">
              <w:t>bez dotace</w:t>
            </w:r>
            <w:r>
              <w:t xml:space="preserve"> </w:t>
            </w:r>
            <w:r w:rsidR="00055D7E">
              <w:t xml:space="preserve">SFŽP ČR </w:t>
            </w:r>
            <w:r>
              <w:t xml:space="preserve">– </w:t>
            </w:r>
            <w:r>
              <w:fldChar w:fldCharType="begin"/>
            </w:r>
            <w:r>
              <w:instrText xml:space="preserve"> REF _Ref56448609 \h </w:instrText>
            </w:r>
            <w:r>
              <w:fldChar w:fldCharType="separate"/>
            </w:r>
            <w:r w:rsidR="00816426" w:rsidRPr="002410EE">
              <w:t xml:space="preserve">Příloha č. </w:t>
            </w:r>
            <w:r w:rsidR="00816426">
              <w:rPr>
                <w:noProof/>
              </w:rPr>
              <w:t>8</w:t>
            </w:r>
            <w:r>
              <w:fldChar w:fldCharType="end"/>
            </w:r>
            <w:r>
              <w:t>)</w:t>
            </w:r>
          </w:p>
        </w:tc>
      </w:tr>
    </w:tbl>
    <w:p w:rsidR="00B82808" w:rsidRDefault="00B82808" w:rsidP="00B82808"/>
    <w:p w:rsidR="00CC2A7D" w:rsidRDefault="00CC2A7D" w:rsidP="00B82808"/>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44"/>
      </w:tblGrid>
      <w:tr w:rsidR="00EB12A1" w:rsidTr="004E660E">
        <w:tc>
          <w:tcPr>
            <w:tcW w:w="14144" w:type="dxa"/>
          </w:tcPr>
          <w:p w:rsidR="00EB12A1" w:rsidRDefault="005347D0" w:rsidP="00EB12A1">
            <w:pPr>
              <w:keepNext/>
              <w:jc w:val="center"/>
            </w:pPr>
            <w:r w:rsidRPr="005347D0">
              <w:rPr>
                <w:noProof/>
                <w:lang w:eastAsia="cs-CZ"/>
              </w:rPr>
              <w:drawing>
                <wp:inline distT="0" distB="0" distL="0" distR="0" wp14:anchorId="557B1552" wp14:editId="6DEDBC62">
                  <wp:extent cx="6362700" cy="3895725"/>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62700" cy="3895725"/>
                          </a:xfrm>
                          <a:prstGeom prst="rect">
                            <a:avLst/>
                          </a:prstGeom>
                          <a:noFill/>
                          <a:ln>
                            <a:noFill/>
                          </a:ln>
                        </pic:spPr>
                      </pic:pic>
                    </a:graphicData>
                  </a:graphic>
                </wp:inline>
              </w:drawing>
            </w:r>
          </w:p>
        </w:tc>
      </w:tr>
      <w:tr w:rsidR="00EB12A1" w:rsidTr="004E660E">
        <w:tc>
          <w:tcPr>
            <w:tcW w:w="14144" w:type="dxa"/>
          </w:tcPr>
          <w:p w:rsidR="00EB12A1" w:rsidRDefault="00EB12A1" w:rsidP="00055D7E">
            <w:pPr>
              <w:pStyle w:val="Obrzek"/>
            </w:pPr>
            <w:bookmarkStart w:id="149" w:name="_Ref56694754"/>
            <w:r>
              <w:t xml:space="preserve">Obr. </w:t>
            </w:r>
            <w:fldSimple w:instr=" SEQ Obr. \* ARABIC ">
              <w:r w:rsidR="00816426">
                <w:rPr>
                  <w:noProof/>
                </w:rPr>
                <w:t>22</w:t>
              </w:r>
            </w:fldSimple>
            <w:bookmarkEnd w:id="149"/>
            <w:r>
              <w:t xml:space="preserve"> Finanční plán – Varianta B – Část 3 (součást finanční analýzy pro variantu </w:t>
            </w:r>
            <w:r w:rsidR="00055D7E">
              <w:t>bez dotace SFŽP ČR</w:t>
            </w:r>
            <w:r>
              <w:t xml:space="preserve"> – </w:t>
            </w:r>
            <w:r>
              <w:fldChar w:fldCharType="begin"/>
            </w:r>
            <w:r>
              <w:instrText xml:space="preserve"> REF _Ref56448609 \h </w:instrText>
            </w:r>
            <w:r>
              <w:fldChar w:fldCharType="separate"/>
            </w:r>
            <w:r w:rsidR="00816426" w:rsidRPr="002410EE">
              <w:t xml:space="preserve">Příloha č. </w:t>
            </w:r>
            <w:r w:rsidR="00816426">
              <w:rPr>
                <w:noProof/>
              </w:rPr>
              <w:t>8</w:t>
            </w:r>
            <w:r>
              <w:fldChar w:fldCharType="end"/>
            </w:r>
            <w:r>
              <w:t>)</w:t>
            </w:r>
          </w:p>
        </w:tc>
      </w:tr>
    </w:tbl>
    <w:p w:rsidR="00EB12A1" w:rsidRPr="00B82808" w:rsidRDefault="00EB12A1" w:rsidP="00B82808"/>
    <w:p w:rsidR="00EB12A1" w:rsidRDefault="00EB12A1" w:rsidP="008D560F">
      <w:pPr>
        <w:sectPr w:rsidR="00EB12A1" w:rsidSect="00F91C8B">
          <w:pgSz w:w="16838" w:h="11906" w:orient="landscape"/>
          <w:pgMar w:top="1417" w:right="1417" w:bottom="1417" w:left="1417" w:header="709" w:footer="709" w:gutter="0"/>
          <w:cols w:space="708"/>
          <w:docGrid w:linePitch="360"/>
        </w:sectPr>
      </w:pPr>
    </w:p>
    <w:p w:rsidR="008D560F" w:rsidRDefault="00EB12A1" w:rsidP="00EB12A1">
      <w:pPr>
        <w:pStyle w:val="Nadpis3"/>
      </w:pPr>
      <w:bookmarkStart w:id="150" w:name="_Toc58949399"/>
      <w:r>
        <w:t>Využití dotačních titulů pro ČNB</w:t>
      </w:r>
      <w:bookmarkEnd w:id="150"/>
    </w:p>
    <w:p w:rsidR="00404AF2" w:rsidRDefault="00404AF2" w:rsidP="00404AF2">
      <w:r>
        <w:t>Dotačním titulem využitelným pro ČNB je „Podpora obnovitelných zdrojů energie (POZE)“.</w:t>
      </w:r>
    </w:p>
    <w:tbl>
      <w:tblPr>
        <w:tblStyle w:val="Mkatabulky"/>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AF1DD" w:themeFill="accent3" w:themeFillTint="33"/>
        <w:tblLook w:val="04A0" w:firstRow="1" w:lastRow="0" w:firstColumn="1" w:lastColumn="0" w:noHBand="0" w:noVBand="1"/>
      </w:tblPr>
      <w:tblGrid>
        <w:gridCol w:w="9212"/>
      </w:tblGrid>
      <w:tr w:rsidR="00F91C8B" w:rsidTr="00F91C8B">
        <w:tc>
          <w:tcPr>
            <w:tcW w:w="9212" w:type="dxa"/>
            <w:shd w:val="clear" w:color="auto" w:fill="EAF1DD" w:themeFill="accent3" w:themeFillTint="33"/>
          </w:tcPr>
          <w:p w:rsidR="00F91C8B" w:rsidRDefault="00F91C8B" w:rsidP="00F91C8B">
            <w:pPr>
              <w:keepNext/>
              <w:rPr>
                <w:b/>
              </w:rPr>
            </w:pPr>
            <w:r w:rsidRPr="006A1A11">
              <w:rPr>
                <w:b/>
              </w:rPr>
              <w:t>Podpora obnovitelných zdrojů energie (POZE)</w:t>
            </w:r>
          </w:p>
        </w:tc>
      </w:tr>
    </w:tbl>
    <w:p w:rsidR="00404AF2" w:rsidRDefault="00404AF2" w:rsidP="00404AF2">
      <w:r>
        <w:t>Mezi podporované zdroje energie patří také elektrická energie vyrobená z KVET (kombinovaná výroba tepla a elektřiny). Roční zelený bonus na elektřinu z KVET se skládá ze dvou sazeb – základní a doplňkové. Při využití v tomto konkrétním případě lze uplatnit pouze sazbu základní.</w:t>
      </w:r>
    </w:p>
    <w:p w:rsidR="00404AF2" w:rsidRDefault="00404AF2" w:rsidP="00404AF2">
      <w:r>
        <w:t>Základní sazba ročního zeleného bonusu na elektřinu z KVET pro výrobnu elektřiny s celkovým instalovaným výkonem kogeneračních jednotek do 5 MW</w:t>
      </w:r>
      <w:r w:rsidRPr="00E822DB">
        <w:rPr>
          <w:vertAlign w:val="subscript"/>
        </w:rPr>
        <w:t>e</w:t>
      </w:r>
      <w:r>
        <w:t xml:space="preserve"> je uvedena na </w:t>
      </w:r>
      <w:r>
        <w:fldChar w:fldCharType="begin"/>
      </w:r>
      <w:r>
        <w:instrText xml:space="preserve"> REF _Ref56688794 \h </w:instrText>
      </w:r>
      <w:r>
        <w:fldChar w:fldCharType="separate"/>
      </w:r>
      <w:r w:rsidR="00816426">
        <w:t xml:space="preserve">Obr. </w:t>
      </w:r>
      <w:r w:rsidR="00816426">
        <w:rPr>
          <w:noProof/>
        </w:rPr>
        <w:t>23</w:t>
      </w:r>
      <w:r>
        <w:fldChar w:fldCharType="end"/>
      </w:r>
      <w: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gridCol w:w="76"/>
      </w:tblGrid>
      <w:tr w:rsidR="00404AF2" w:rsidTr="00F91C8B">
        <w:tc>
          <w:tcPr>
            <w:tcW w:w="9288" w:type="dxa"/>
            <w:gridSpan w:val="2"/>
          </w:tcPr>
          <w:p w:rsidR="00404AF2" w:rsidRDefault="00404AF2" w:rsidP="00B17630">
            <w:pPr>
              <w:keepNext/>
            </w:pPr>
            <w:r>
              <w:rPr>
                <w:noProof/>
                <w:lang w:eastAsia="cs-CZ"/>
              </w:rPr>
              <w:drawing>
                <wp:inline distT="0" distB="0" distL="0" distR="0" wp14:anchorId="5460F463" wp14:editId="268C4C50">
                  <wp:extent cx="5760720" cy="2804795"/>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0720" cy="2804795"/>
                          </a:xfrm>
                          <a:prstGeom prst="rect">
                            <a:avLst/>
                          </a:prstGeom>
                        </pic:spPr>
                      </pic:pic>
                    </a:graphicData>
                  </a:graphic>
                </wp:inline>
              </w:drawing>
            </w:r>
          </w:p>
        </w:tc>
      </w:tr>
      <w:tr w:rsidR="00404AF2" w:rsidTr="00F91C8B">
        <w:tc>
          <w:tcPr>
            <w:tcW w:w="9288" w:type="dxa"/>
            <w:gridSpan w:val="2"/>
          </w:tcPr>
          <w:p w:rsidR="00404AF2" w:rsidRPr="008D560F" w:rsidRDefault="00404AF2" w:rsidP="00B17630">
            <w:pPr>
              <w:pStyle w:val="Obrzek"/>
            </w:pPr>
            <w:bookmarkStart w:id="151" w:name="_Ref56688794"/>
            <w:r>
              <w:t xml:space="preserve">Obr. </w:t>
            </w:r>
            <w:fldSimple w:instr=" SEQ Obr. \* ARABIC ">
              <w:r w:rsidR="00816426">
                <w:rPr>
                  <w:noProof/>
                </w:rPr>
                <w:t>23</w:t>
              </w:r>
            </w:fldSimple>
            <w:bookmarkEnd w:id="151"/>
            <w:r>
              <w:t xml:space="preserve"> Základní sazba ročního zeleného bonusu na elektřinu z KVET </w:t>
            </w:r>
            <w:r>
              <w:rPr>
                <w:lang w:val="en-US"/>
              </w:rPr>
              <w:t>[2]</w:t>
            </w:r>
          </w:p>
        </w:tc>
      </w:tr>
      <w:tr w:rsidR="00F91C8B" w:rsidTr="00F91C8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Pr>
        <w:tc>
          <w:tcPr>
            <w:tcW w:w="9212" w:type="dxa"/>
            <w:tcBorders>
              <w:top w:val="single" w:sz="12" w:space="0" w:color="auto"/>
              <w:left w:val="single" w:sz="12" w:space="0" w:color="auto"/>
              <w:bottom w:val="single" w:sz="12" w:space="0" w:color="auto"/>
              <w:right w:val="single" w:sz="12" w:space="0" w:color="auto"/>
            </w:tcBorders>
            <w:shd w:val="clear" w:color="auto" w:fill="EAF1DD" w:themeFill="accent3" w:themeFillTint="33"/>
          </w:tcPr>
          <w:p w:rsidR="00E9795E" w:rsidRDefault="00E9795E" w:rsidP="00F91C8B">
            <w:pPr>
              <w:keepNext/>
              <w:rPr>
                <w:b/>
              </w:rPr>
            </w:pPr>
            <w:r>
              <w:rPr>
                <w:b/>
              </w:rPr>
              <w:t>Operační program Životní prostředí</w:t>
            </w:r>
          </w:p>
          <w:p w:rsidR="00F91C8B" w:rsidRPr="00F91C8B" w:rsidRDefault="00F91C8B" w:rsidP="00F91C8B">
            <w:pPr>
              <w:keepNext/>
              <w:rPr>
                <w:b/>
              </w:rPr>
            </w:pPr>
            <w:r w:rsidRPr="00F91C8B">
              <w:rPr>
                <w:b/>
              </w:rPr>
              <w:t>Prioritní osa 5: Energetické úspory</w:t>
            </w:r>
          </w:p>
          <w:p w:rsidR="00F91C8B" w:rsidRDefault="00F91C8B" w:rsidP="00F91C8B">
            <w:pPr>
              <w:keepNext/>
            </w:pPr>
            <w:r w:rsidRPr="00F91C8B">
              <w:rPr>
                <w:b/>
              </w:rPr>
              <w:t>Specifický cíl: 5.1 – Snížit energetickou náročnost veřejných budov a zvýšit využití obnovitelných zdrojů energie</w:t>
            </w:r>
          </w:p>
        </w:tc>
      </w:tr>
    </w:tbl>
    <w:p w:rsidR="00F91C8B" w:rsidRDefault="00E9795E" w:rsidP="00404AF2">
      <w:r>
        <w:t xml:space="preserve">Možným využitelným dotačním titulem pro akci „Optimalizace vytápění a možnosti dochlazení budovy ústředí ČNB“ je Operační program Životní prostředí, Prioritní osa 5: Energetické úspory, Specifický cíl: 5.1 – Snížit energetickou náročnost veřejných budov a zvýšit využití obnovitelných zdrojů energie. ČNB je dle informací Státního fondu životního prostředí ČR oprávněný </w:t>
      </w:r>
      <w:r w:rsidR="007A16B1">
        <w:t>žadatel, neboť se jedná o veřejnoprávní instituci.</w:t>
      </w:r>
    </w:p>
    <w:p w:rsidR="007A16B1" w:rsidRDefault="007A16B1" w:rsidP="00404AF2">
      <w:r>
        <w:t xml:space="preserve">Cílem je snížit konečnou spotřebu energie a snížit spotřebu neobnovitelné primární energie prostřednictvím využití lokálních obnovitelných zdrojů ve veřejných budovách </w:t>
      </w:r>
      <w:r>
        <w:rPr>
          <w:lang w:val="en-US"/>
        </w:rPr>
        <w:t>[10]</w:t>
      </w:r>
      <w:r>
        <w:t>.</w:t>
      </w:r>
    </w:p>
    <w:p w:rsidR="007A16B1" w:rsidRPr="007A16B1" w:rsidRDefault="007A16B1" w:rsidP="007A16B1">
      <w:pPr>
        <w:keepNext/>
        <w:rPr>
          <w:b/>
        </w:rPr>
      </w:pPr>
      <w:r w:rsidRPr="007A16B1">
        <w:rPr>
          <w:b/>
        </w:rPr>
        <w:t>Typy podporovaných projektů a aktivit</w:t>
      </w:r>
    </w:p>
    <w:p w:rsidR="007A16B1" w:rsidRPr="007A16B1" w:rsidRDefault="007A16B1" w:rsidP="007A16B1">
      <w:pPr>
        <w:pStyle w:val="Odstavecseseznamem"/>
        <w:numPr>
          <w:ilvl w:val="0"/>
          <w:numId w:val="24"/>
        </w:numPr>
        <w:rPr>
          <w:i/>
        </w:rPr>
      </w:pPr>
      <w:r w:rsidRPr="007A16B1">
        <w:rPr>
          <w:i/>
        </w:rPr>
        <w:t>Podporovaná aktivita 5.1a) Celkové nebo dílčí energeticky úsporné renovace veřejných budov, včetně projektů realizovaných metodou EPC:</w:t>
      </w:r>
    </w:p>
    <w:p w:rsidR="007A16B1" w:rsidRDefault="007A16B1" w:rsidP="007A16B1">
      <w:pPr>
        <w:pStyle w:val="Odstavecseseznamem"/>
        <w:numPr>
          <w:ilvl w:val="1"/>
          <w:numId w:val="24"/>
        </w:numPr>
      </w:pPr>
      <w:r>
        <w:t>zateplení obvodového pláště budovy,</w:t>
      </w:r>
    </w:p>
    <w:p w:rsidR="007A16B1" w:rsidRDefault="007A16B1" w:rsidP="007A16B1">
      <w:pPr>
        <w:pStyle w:val="Odstavecseseznamem"/>
        <w:numPr>
          <w:ilvl w:val="1"/>
          <w:numId w:val="24"/>
        </w:numPr>
      </w:pPr>
      <w:r>
        <w:t>výměna a renovace (repase) otvorových výplní,</w:t>
      </w:r>
    </w:p>
    <w:p w:rsidR="007A16B1" w:rsidRDefault="007A16B1" w:rsidP="007A16B1">
      <w:pPr>
        <w:pStyle w:val="Odstavecseseznamem"/>
        <w:numPr>
          <w:ilvl w:val="1"/>
          <w:numId w:val="24"/>
        </w:numPr>
      </w:pPr>
      <w:r>
        <w:t xml:space="preserve">realizace opatření majících prokazatelně vliv na energetickou náročnost budovy nebo zlepšení kvality vnitřního prostředí (např. rekonstrukce a modernizace vnitřního osvětlení, systémy měření a regulace vytápění a větrání, opatření zlepšující prostorovou akustiku, </w:t>
      </w:r>
      <w:r w:rsidRPr="00A301F4">
        <w:t>opatření zabraňující letnímu přehřívání)</w:t>
      </w:r>
      <w:r>
        <w:t>,</w:t>
      </w:r>
    </w:p>
    <w:p w:rsidR="007A16B1" w:rsidRDefault="007A16B1" w:rsidP="007A16B1">
      <w:pPr>
        <w:pStyle w:val="Odstavecseseznamem"/>
        <w:numPr>
          <w:ilvl w:val="1"/>
          <w:numId w:val="24"/>
        </w:numPr>
      </w:pPr>
      <w:r>
        <w:t>realizace systémů nuceného větrání s rekuperací odpadního tepla,</w:t>
      </w:r>
    </w:p>
    <w:p w:rsidR="007A16B1" w:rsidRDefault="007A16B1" w:rsidP="007A16B1">
      <w:pPr>
        <w:pStyle w:val="Odstavecseseznamem"/>
        <w:numPr>
          <w:ilvl w:val="1"/>
          <w:numId w:val="24"/>
        </w:numPr>
      </w:pPr>
      <w:r>
        <w:t>realizace systémů využívajících odpadní teplo,</w:t>
      </w:r>
    </w:p>
    <w:p w:rsidR="007A16B1" w:rsidRDefault="007A16B1" w:rsidP="007A16B1">
      <w:pPr>
        <w:pStyle w:val="Odstavecseseznamem"/>
        <w:numPr>
          <w:ilvl w:val="1"/>
          <w:numId w:val="24"/>
        </w:numPr>
      </w:pPr>
      <w:r>
        <w:t xml:space="preserve">výměna zdroje tepla pro vytápění, chlazení nebo přípravu teplé užitkové vody s výkonem nižším než 5 MW využívajícího fosilní paliva nebo elektrickou energii za účinné zdroje využívající biomasu, tepelná čerpadla, kondenzační kotle na zemní plyn nebo </w:t>
      </w:r>
      <w:r w:rsidRPr="00A301F4">
        <w:t xml:space="preserve">zařízení pro kombinovanou výrobu elektřiny a tepla </w:t>
      </w:r>
      <w:r>
        <w:t>nebo chladu využívající obnovitelné zdroje nebo zemní plyn,</w:t>
      </w:r>
    </w:p>
    <w:p w:rsidR="007A16B1" w:rsidRDefault="007A16B1" w:rsidP="007A16B1">
      <w:pPr>
        <w:pStyle w:val="Odstavecseseznamem"/>
        <w:numPr>
          <w:ilvl w:val="1"/>
          <w:numId w:val="24"/>
        </w:numPr>
      </w:pPr>
      <w:r>
        <w:t>instalace fotovoltaického systému,</w:t>
      </w:r>
    </w:p>
    <w:p w:rsidR="007A16B1" w:rsidRDefault="007A16B1" w:rsidP="007A16B1">
      <w:pPr>
        <w:pStyle w:val="Odstavecseseznamem"/>
        <w:numPr>
          <w:ilvl w:val="1"/>
          <w:numId w:val="24"/>
        </w:numPr>
      </w:pPr>
      <w:r>
        <w:t>instalace solárně-termických kolektorů.</w:t>
      </w:r>
    </w:p>
    <w:p w:rsidR="00E7557C" w:rsidRDefault="00E7557C" w:rsidP="00E7557C">
      <w:pPr>
        <w:pStyle w:val="Odstavecseseznamem"/>
        <w:numPr>
          <w:ilvl w:val="0"/>
          <w:numId w:val="24"/>
        </w:numPr>
      </w:pPr>
      <w:r w:rsidRPr="00E7557C">
        <w:rPr>
          <w:i/>
        </w:rPr>
        <w:t>Podporovaná aktivita 5.1b) Samostatná opatření výměny zdroje tepla s výkonem nižším než 5 MW</w:t>
      </w:r>
      <w:r w:rsidRPr="00E7557C">
        <w:t xml:space="preserve"> využívajícího fosilní paliva nebo elektrickou energii pro vytápění, chlazení nebo přípravu teplé vody za účinné zdroje využívající biomasu, tepelná čerpadla, kondenzační kotle na zemní plyn nebo </w:t>
      </w:r>
      <w:r w:rsidRPr="00A301F4">
        <w:rPr>
          <w:b/>
        </w:rPr>
        <w:t>zařízení pro kombinovanou výrobu elektřiny a tepla nebo chladu využívající</w:t>
      </w:r>
      <w:r w:rsidRPr="00E7557C">
        <w:t xml:space="preserve"> obnovitelné zdroje nebo </w:t>
      </w:r>
      <w:r w:rsidRPr="00A301F4">
        <w:rPr>
          <w:b/>
        </w:rPr>
        <w:t>zemní plyn</w:t>
      </w:r>
      <w:r w:rsidRPr="00E7557C">
        <w:t>, instalace solárně-termických kolektorů, instalace fotovoltaického systému a instalace systému nuceného větrání s rekuperací odpadního tepla, pokud veřejná budova splňuje určitou energetickou náročnost a v případě instalace systému nuceného větrání s rekuperací zároveň nesplňuje požadavky na zajištění dostatečné výměny vzduchu.</w:t>
      </w:r>
    </w:p>
    <w:p w:rsidR="00E7557C" w:rsidRDefault="00E7557C" w:rsidP="00E7557C">
      <w:pPr>
        <w:pStyle w:val="Odstavecseseznamem"/>
        <w:numPr>
          <w:ilvl w:val="0"/>
          <w:numId w:val="24"/>
        </w:numPr>
        <w:rPr>
          <w:i/>
        </w:rPr>
      </w:pPr>
      <w:r w:rsidRPr="00E7557C">
        <w:rPr>
          <w:i/>
        </w:rPr>
        <w:t>Podporovaná aktivita 5.1c) Výstavba nových veřejných budov v pasivním energetickém standardu.</w:t>
      </w:r>
    </w:p>
    <w:p w:rsidR="00E7557C" w:rsidRPr="00D13A3C" w:rsidRDefault="00E7557C" w:rsidP="00E7557C">
      <w:pPr>
        <w:rPr>
          <w:b/>
        </w:rPr>
      </w:pPr>
      <w:r w:rsidRPr="00D13A3C">
        <w:rPr>
          <w:b/>
        </w:rPr>
        <w:t>Způsobilé výdaje</w:t>
      </w:r>
    </w:p>
    <w:p w:rsidR="00E7557C" w:rsidRDefault="00E7557C" w:rsidP="00E7557C">
      <w:pPr>
        <w:pStyle w:val="Odstavecseseznamem"/>
        <w:numPr>
          <w:ilvl w:val="0"/>
          <w:numId w:val="24"/>
        </w:numPr>
      </w:pPr>
      <w:r>
        <w:t>přímé realizační výdaje (vč. dokumentace skutečného provedení)</w:t>
      </w:r>
    </w:p>
    <w:p w:rsidR="00E7557C" w:rsidRDefault="00E7557C" w:rsidP="00E7557C">
      <w:pPr>
        <w:pStyle w:val="Odstavecseseznamem"/>
        <w:numPr>
          <w:ilvl w:val="0"/>
          <w:numId w:val="24"/>
        </w:numPr>
      </w:pPr>
      <w:r>
        <w:t>projektová příprava</w:t>
      </w:r>
      <w:r w:rsidR="00D13A3C">
        <w:t xml:space="preserve"> (projektová dokumentace, dokumentace pro provádění stavby)</w:t>
      </w:r>
      <w:r>
        <w:t>,</w:t>
      </w:r>
      <w:r w:rsidR="00D13A3C">
        <w:t xml:space="preserve"> studie proveditelnosti,</w:t>
      </w:r>
      <w:r>
        <w:t xml:space="preserve"> autorský a technický dozor, zajištění bezpečnosti práce na stavbě (koordinátor BOZP)</w:t>
      </w:r>
    </w:p>
    <w:p w:rsidR="00E7557C" w:rsidRDefault="00E7557C" w:rsidP="00E7557C">
      <w:pPr>
        <w:pStyle w:val="Odstavecseseznamem"/>
        <w:numPr>
          <w:ilvl w:val="0"/>
          <w:numId w:val="24"/>
        </w:numPr>
      </w:pPr>
      <w:r>
        <w:t>vícepráce max. do výše způsobilých méněprací</w:t>
      </w:r>
    </w:p>
    <w:p w:rsidR="00E7557C" w:rsidRDefault="00D13A3C" w:rsidP="00E7557C">
      <w:pPr>
        <w:pStyle w:val="Odstavecseseznamem"/>
        <w:numPr>
          <w:ilvl w:val="0"/>
          <w:numId w:val="24"/>
        </w:numPr>
      </w:pPr>
      <w:r>
        <w:t>DPH (pouze pro příjemce, kteří si nemohou nárokovat odpočet daně z přidané hodnoty na vstupu)</w:t>
      </w:r>
    </w:p>
    <w:p w:rsidR="00D13A3C" w:rsidRDefault="00D13A3C" w:rsidP="00E7557C">
      <w:pPr>
        <w:pStyle w:val="Odstavecseseznamem"/>
        <w:numPr>
          <w:ilvl w:val="0"/>
          <w:numId w:val="24"/>
        </w:numPr>
      </w:pPr>
      <w:r>
        <w:t>osobní náklady (mzdové náklady na realizaci projektu)</w:t>
      </w:r>
    </w:p>
    <w:p w:rsidR="00D13A3C" w:rsidRDefault="004A3599" w:rsidP="00E7557C">
      <w:pPr>
        <w:pStyle w:val="Odstavecseseznamem"/>
        <w:numPr>
          <w:ilvl w:val="0"/>
          <w:numId w:val="24"/>
        </w:numPr>
      </w:pPr>
      <w:r>
        <w:t>pořízení nemovitostí (pozemky, stavby)</w:t>
      </w:r>
    </w:p>
    <w:p w:rsidR="004A3599" w:rsidRDefault="004A3599" w:rsidP="00E7557C">
      <w:pPr>
        <w:pStyle w:val="Odstavecseseznamem"/>
        <w:numPr>
          <w:ilvl w:val="0"/>
          <w:numId w:val="24"/>
        </w:numPr>
      </w:pPr>
      <w:r>
        <w:t>propagační opatření</w:t>
      </w:r>
    </w:p>
    <w:p w:rsidR="004A3599" w:rsidRPr="004A3599" w:rsidRDefault="004A3599" w:rsidP="004A3599">
      <w:pPr>
        <w:rPr>
          <w:b/>
        </w:rPr>
      </w:pPr>
      <w:r w:rsidRPr="004A3599">
        <w:rPr>
          <w:b/>
        </w:rPr>
        <w:t>Příjemci podpory</w:t>
      </w:r>
    </w:p>
    <w:p w:rsidR="004A3599" w:rsidRDefault="004A3599" w:rsidP="004A3599">
      <w:pPr>
        <w:pStyle w:val="Odstavecseseznamem"/>
        <w:numPr>
          <w:ilvl w:val="0"/>
          <w:numId w:val="24"/>
        </w:numPr>
      </w:pPr>
      <w:r>
        <w:t>kraje</w:t>
      </w:r>
    </w:p>
    <w:p w:rsidR="004A3599" w:rsidRDefault="004A3599" w:rsidP="004A3599">
      <w:pPr>
        <w:pStyle w:val="Odstavecseseznamem"/>
        <w:numPr>
          <w:ilvl w:val="0"/>
          <w:numId w:val="24"/>
        </w:numPr>
      </w:pPr>
      <w:r>
        <w:t>obce a města</w:t>
      </w:r>
    </w:p>
    <w:p w:rsidR="004A3599" w:rsidRDefault="004A3599" w:rsidP="004A3599">
      <w:pPr>
        <w:pStyle w:val="Odstavecseseznamem"/>
        <w:numPr>
          <w:ilvl w:val="0"/>
          <w:numId w:val="24"/>
        </w:numPr>
      </w:pPr>
      <w:r>
        <w:t>svazky obcí</w:t>
      </w:r>
    </w:p>
    <w:p w:rsidR="004A3599" w:rsidRDefault="001C6430" w:rsidP="004A3599">
      <w:pPr>
        <w:pStyle w:val="Odstavecseseznamem"/>
        <w:numPr>
          <w:ilvl w:val="0"/>
          <w:numId w:val="24"/>
        </w:numPr>
      </w:pPr>
      <w:r>
        <w:t>městské části hl. m. Prahy</w:t>
      </w:r>
    </w:p>
    <w:p w:rsidR="001C6430" w:rsidRDefault="001C6430" w:rsidP="004A3599">
      <w:pPr>
        <w:pStyle w:val="Odstavecseseznamem"/>
        <w:numPr>
          <w:ilvl w:val="0"/>
          <w:numId w:val="24"/>
        </w:numPr>
      </w:pPr>
      <w:r>
        <w:t>organizační složky státu</w:t>
      </w:r>
    </w:p>
    <w:p w:rsidR="001C6430" w:rsidRDefault="001C6430" w:rsidP="004A3599">
      <w:pPr>
        <w:pStyle w:val="Odstavecseseznamem"/>
        <w:numPr>
          <w:ilvl w:val="0"/>
          <w:numId w:val="24"/>
        </w:numPr>
      </w:pPr>
      <w:r>
        <w:t>státní podniky</w:t>
      </w:r>
    </w:p>
    <w:p w:rsidR="001C6430" w:rsidRDefault="001C6430" w:rsidP="004A3599">
      <w:pPr>
        <w:pStyle w:val="Odstavecseseznamem"/>
        <w:numPr>
          <w:ilvl w:val="0"/>
          <w:numId w:val="24"/>
        </w:numPr>
      </w:pPr>
      <w:r>
        <w:t>státní organizace</w:t>
      </w:r>
    </w:p>
    <w:p w:rsidR="001C6430" w:rsidRDefault="001C6430" w:rsidP="004A3599">
      <w:pPr>
        <w:pStyle w:val="Odstavecseseznamem"/>
        <w:numPr>
          <w:ilvl w:val="0"/>
          <w:numId w:val="24"/>
        </w:numPr>
      </w:pPr>
      <w:r>
        <w:t>příspěvkové organizace</w:t>
      </w:r>
    </w:p>
    <w:p w:rsidR="001C6430" w:rsidRDefault="001C6430" w:rsidP="004A3599">
      <w:pPr>
        <w:pStyle w:val="Odstavecseseznamem"/>
        <w:numPr>
          <w:ilvl w:val="0"/>
          <w:numId w:val="24"/>
        </w:numPr>
      </w:pPr>
      <w:r>
        <w:t>veřejné výzkumné instituce</w:t>
      </w:r>
    </w:p>
    <w:p w:rsidR="001C6430" w:rsidRDefault="001C6430" w:rsidP="004A3599">
      <w:pPr>
        <w:pStyle w:val="Odstavecseseznamem"/>
        <w:numPr>
          <w:ilvl w:val="0"/>
          <w:numId w:val="24"/>
        </w:numPr>
      </w:pPr>
      <w:r>
        <w:t>veřejnoprávní instituce</w:t>
      </w:r>
    </w:p>
    <w:p w:rsidR="001C6430" w:rsidRDefault="001C6430" w:rsidP="004A3599">
      <w:pPr>
        <w:pStyle w:val="Odstavecseseznamem"/>
        <w:numPr>
          <w:ilvl w:val="0"/>
          <w:numId w:val="24"/>
        </w:numPr>
      </w:pPr>
      <w:r>
        <w:t>vysoké školy a školská zařízení</w:t>
      </w:r>
    </w:p>
    <w:p w:rsidR="001C6430" w:rsidRDefault="001C6430" w:rsidP="004A3599">
      <w:pPr>
        <w:pStyle w:val="Odstavecseseznamem"/>
        <w:numPr>
          <w:ilvl w:val="0"/>
          <w:numId w:val="24"/>
        </w:numPr>
      </w:pPr>
      <w:r>
        <w:t>nestátní neziskové organizace</w:t>
      </w:r>
    </w:p>
    <w:p w:rsidR="001C6430" w:rsidRDefault="001C6430" w:rsidP="004A3599">
      <w:pPr>
        <w:pStyle w:val="Odstavecseseznamem"/>
        <w:numPr>
          <w:ilvl w:val="0"/>
          <w:numId w:val="24"/>
        </w:numPr>
      </w:pPr>
      <w:r>
        <w:t>církve a náboženské společnosti a jejich svazy</w:t>
      </w:r>
    </w:p>
    <w:p w:rsidR="001C6430" w:rsidRDefault="001C6430" w:rsidP="004A3599">
      <w:pPr>
        <w:pStyle w:val="Odstavecseseznamem"/>
        <w:numPr>
          <w:ilvl w:val="0"/>
          <w:numId w:val="24"/>
        </w:numPr>
      </w:pPr>
      <w:r>
        <w:t>obchodní společnosti vlastněné ze 100 % veřejným subjektem vyjma příjemců podporovaných v rámci OP PIK (Operační program Podnikání a inovace pro konkurenceschopnost 2014–2020, viz níže)</w:t>
      </w:r>
    </w:p>
    <w:p w:rsidR="00A301F4" w:rsidRPr="00863D26" w:rsidRDefault="00A301F4" w:rsidP="00A301F4">
      <w:pPr>
        <w:rPr>
          <w:b/>
        </w:rPr>
      </w:pPr>
      <w:r w:rsidRPr="00863D26">
        <w:rPr>
          <w:b/>
        </w:rPr>
        <w:t>Forma a výše podpory</w:t>
      </w:r>
    </w:p>
    <w:p w:rsidR="00A301F4" w:rsidRDefault="00863D26" w:rsidP="00A301F4">
      <w:r>
        <w:t>Pro zvažovaný záměr lze uvažovat využití podpory pro podporovanou aktivitu 5.1b)</w:t>
      </w:r>
      <w:r w:rsidR="00A96718">
        <w:t xml:space="preserve"> </w:t>
      </w:r>
      <w:r w:rsidR="00A96718" w:rsidRPr="00E7557C">
        <w:rPr>
          <w:i/>
        </w:rPr>
        <w:t>Samostatná opatření výměny zdroje tepla s výkonem nižším než 5 MW</w:t>
      </w:r>
      <w:r w:rsidR="00A96718">
        <w:rPr>
          <w:i/>
        </w:rPr>
        <w:t xml:space="preserve"> </w:t>
      </w:r>
      <w:r w:rsidR="00A96718">
        <w:t>(viz výše)</w:t>
      </w:r>
      <w:r>
        <w:t xml:space="preserve">. </w:t>
      </w:r>
      <w:r w:rsidR="00A96718">
        <w:t xml:space="preserve">Konkrétně by šla dotace využít na pořízení kogenerační jednotky. Výše podpory je v tomto případě 40 % způsobilých nákladů. </w:t>
      </w:r>
    </w:p>
    <w:p w:rsidR="00144A55" w:rsidRPr="00144A55" w:rsidRDefault="00144A55" w:rsidP="00A301F4">
      <w:pPr>
        <w:rPr>
          <w:b/>
        </w:rPr>
      </w:pPr>
      <w:r w:rsidRPr="00144A55">
        <w:rPr>
          <w:b/>
        </w:rPr>
        <w:t>Předpokládaný harmonogram programu a projektů</w:t>
      </w:r>
    </w:p>
    <w:p w:rsidR="00144A55" w:rsidRDefault="00144A55" w:rsidP="00A301F4">
      <w:r>
        <w:t>Podání žádosti od: 2. 3. 2020</w:t>
      </w:r>
    </w:p>
    <w:p w:rsidR="00144A55" w:rsidRDefault="00144A55" w:rsidP="00F259F5">
      <w:pPr>
        <w:pBdr>
          <w:bottom w:val="single" w:sz="4" w:space="1" w:color="auto"/>
        </w:pBdr>
      </w:pPr>
      <w:r>
        <w:t>Podání žádosti do: 2. 3. 2021</w:t>
      </w:r>
      <w:r w:rsidR="00F259F5">
        <w:t xml:space="preserve"> (bude prodlouženo)</w:t>
      </w:r>
    </w:p>
    <w:p w:rsidR="00404AF2" w:rsidRDefault="00404AF2" w:rsidP="00F91C8B">
      <w:pPr>
        <w:keepNext/>
      </w:pPr>
      <w:r>
        <w:t>Další zvažované tituly:</w:t>
      </w:r>
    </w:p>
    <w:tbl>
      <w:tblPr>
        <w:tblStyle w:val="Mkatabulky"/>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AF1DD" w:themeFill="accent3" w:themeFillTint="33"/>
        <w:tblLook w:val="04A0" w:firstRow="1" w:lastRow="0" w:firstColumn="1" w:lastColumn="0" w:noHBand="0" w:noVBand="1"/>
      </w:tblPr>
      <w:tblGrid>
        <w:gridCol w:w="9212"/>
      </w:tblGrid>
      <w:tr w:rsidR="00F91C8B" w:rsidTr="00F91C8B">
        <w:tc>
          <w:tcPr>
            <w:tcW w:w="9212" w:type="dxa"/>
            <w:shd w:val="clear" w:color="auto" w:fill="EAF1DD" w:themeFill="accent3" w:themeFillTint="33"/>
          </w:tcPr>
          <w:p w:rsidR="00E9795E" w:rsidRDefault="00E9795E" w:rsidP="00F91C8B">
            <w:pPr>
              <w:keepNext/>
              <w:rPr>
                <w:b/>
              </w:rPr>
            </w:pPr>
            <w:r>
              <w:rPr>
                <w:b/>
              </w:rPr>
              <w:t>Operační program Podnikání a inovace pro konkurenceschopnost 2014–2020</w:t>
            </w:r>
          </w:p>
          <w:p w:rsidR="00F91C8B" w:rsidRPr="00F91C8B" w:rsidRDefault="00E9795E" w:rsidP="00F91C8B">
            <w:pPr>
              <w:keepNext/>
              <w:rPr>
                <w:b/>
              </w:rPr>
            </w:pPr>
            <w:r>
              <w:rPr>
                <w:b/>
              </w:rPr>
              <w:t xml:space="preserve">Název výzvy: </w:t>
            </w:r>
            <w:r w:rsidR="00F91C8B" w:rsidRPr="008D560F">
              <w:rPr>
                <w:b/>
              </w:rPr>
              <w:t>Úspory energie v SZT – Výzva IV</w:t>
            </w:r>
            <w:r w:rsidR="00F91C8B">
              <w:rPr>
                <w:b/>
              </w:rPr>
              <w:t xml:space="preserve"> </w:t>
            </w:r>
          </w:p>
        </w:tc>
      </w:tr>
    </w:tbl>
    <w:p w:rsidR="00404AF2" w:rsidRPr="00AE4193" w:rsidRDefault="00404AF2" w:rsidP="00404AF2">
      <w:pPr>
        <w:pStyle w:val="Odstavecseseznamem"/>
        <w:numPr>
          <w:ilvl w:val="0"/>
          <w:numId w:val="24"/>
        </w:numPr>
        <w:rPr>
          <w:b/>
        </w:rPr>
      </w:pPr>
      <w:r>
        <w:t>Nesplněné kritérium: Projekt musí být realizován na území ČR mimo NUTS 2 Praha.</w:t>
      </w:r>
    </w:p>
    <w:p w:rsidR="00EB12A1" w:rsidRDefault="006A6767" w:rsidP="006A6767">
      <w:pPr>
        <w:pStyle w:val="Nadpis3"/>
      </w:pPr>
      <w:bookmarkStart w:id="152" w:name="_Toc58949400"/>
      <w:r>
        <w:t>Popis investiční a nulové varianty</w:t>
      </w:r>
      <w:bookmarkEnd w:id="152"/>
    </w:p>
    <w:p w:rsidR="00B56AB9" w:rsidRDefault="00B56AB9" w:rsidP="00B56AB9">
      <w:r>
        <w:t>Investiční varianta</w:t>
      </w:r>
      <w:r w:rsidR="00055D7E">
        <w:t xml:space="preserve"> (pouze pořízení, provoz, generální oprava KGJ)</w:t>
      </w:r>
      <w:r>
        <w:t xml:space="preserve"> byla podrobně popsána. Jako nulová varianta byl v tomto projektu označen výchozí (stávající) stav. K nulové variantě je také počítána finanční návratnost investiční varianty. </w:t>
      </w:r>
    </w:p>
    <w:p w:rsidR="00B56AB9" w:rsidRDefault="00B56AB9" w:rsidP="00B56AB9">
      <w:r>
        <w:t>Rozdíl mezi nulovou a investiční variantou je dán nejen investovanou částkou, ale zejména provozními náklady a úsporami. Ty jsou v případě varianty B následující:</w:t>
      </w:r>
    </w:p>
    <w:p w:rsidR="00B56AB9" w:rsidRDefault="00B56AB9" w:rsidP="00B56AB9">
      <w:pPr>
        <w:pStyle w:val="Odstavecseseznamem"/>
        <w:numPr>
          <w:ilvl w:val="0"/>
          <w:numId w:val="24"/>
        </w:numPr>
      </w:pPr>
      <w:r>
        <w:t xml:space="preserve">úspora za vyrobenou elektrickou energii kogenerační jednotkou pro vlastní spotřebu </w:t>
      </w:r>
    </w:p>
    <w:p w:rsidR="00B56AB9" w:rsidRDefault="00B56AB9" w:rsidP="00B56AB9">
      <w:pPr>
        <w:pStyle w:val="Odstavecseseznamem"/>
        <w:numPr>
          <w:ilvl w:val="0"/>
          <w:numId w:val="24"/>
        </w:numPr>
      </w:pPr>
      <w:r>
        <w:t>úspora za přijaté zelené bonusy z POZE</w:t>
      </w:r>
    </w:p>
    <w:p w:rsidR="00B56AB9" w:rsidRDefault="00B56AB9" w:rsidP="00B56AB9">
      <w:pPr>
        <w:pStyle w:val="Odstavecseseznamem"/>
        <w:numPr>
          <w:ilvl w:val="0"/>
          <w:numId w:val="24"/>
        </w:numPr>
      </w:pPr>
      <w:r>
        <w:t>úspora za vyrobené teplo kogenerační jednotkou</w:t>
      </w:r>
    </w:p>
    <w:p w:rsidR="00CD12D5" w:rsidRDefault="00CD12D5" w:rsidP="00B56AB9">
      <w:pPr>
        <w:pStyle w:val="Odstavecseseznamem"/>
        <w:numPr>
          <w:ilvl w:val="0"/>
          <w:numId w:val="24"/>
        </w:numPr>
      </w:pPr>
      <w:r>
        <w:t xml:space="preserve">úspora za přijatou dotaci ze SFŽP </w:t>
      </w:r>
      <w:r w:rsidR="00055D7E">
        <w:t>(varianta s dotací)</w:t>
      </w:r>
    </w:p>
    <w:p w:rsidR="00B56AB9" w:rsidRDefault="00B56AB9" w:rsidP="00B56AB9">
      <w:pPr>
        <w:pStyle w:val="Odstavecseseznamem"/>
        <w:numPr>
          <w:ilvl w:val="0"/>
          <w:numId w:val="24"/>
        </w:numPr>
      </w:pPr>
      <w:r>
        <w:t xml:space="preserve">náklad za servis kogenerační jednotky </w:t>
      </w:r>
    </w:p>
    <w:p w:rsidR="00B56AB9" w:rsidRDefault="00B56AB9" w:rsidP="00B56AB9">
      <w:pPr>
        <w:pStyle w:val="Odstavecseseznamem"/>
        <w:numPr>
          <w:ilvl w:val="0"/>
          <w:numId w:val="24"/>
        </w:numPr>
      </w:pPr>
      <w:r>
        <w:t>náklad za spotřebovaný plyn kogenerační jednotkou</w:t>
      </w:r>
    </w:p>
    <w:p w:rsidR="00BF1B7C" w:rsidRPr="00FB0806" w:rsidRDefault="00B56AB9" w:rsidP="00B56AB9">
      <w:pPr>
        <w:pStyle w:val="Nadpis3"/>
      </w:pPr>
      <w:bookmarkStart w:id="153" w:name="_Toc58949401"/>
      <w:r>
        <w:t>Výpočet hodnoty přínosů a výdajů</w:t>
      </w:r>
      <w:bookmarkEnd w:id="153"/>
    </w:p>
    <w:p w:rsidR="0015635B" w:rsidRDefault="0015635B" w:rsidP="0015635B">
      <w:r>
        <w:t>Hodnoty přínosů a nákladů byl proveden na základě vstupních údajů – cen energií, dotací (POZE) a dalších dat poskytnutých provozovatelem, výrobcem (servisy, účinnosti zařízení). Vstupní údaje jsou součástí finanční analýzy v příloze. Zde v textu již nejsou pro jednoduchost a přehlednost uváděny. Roční hodnoty nákladů a přínosů (úspor) varianty B</w:t>
      </w:r>
      <w:r w:rsidR="00055D7E">
        <w:t xml:space="preserve"> bez dotace SFŽP ČR</w:t>
      </w:r>
      <w:r>
        <w:t xml:space="preserve"> jsou součástí</w:t>
      </w:r>
      <w:r w:rsidR="004E56BA">
        <w:t xml:space="preserve"> </w:t>
      </w:r>
      <w:r w:rsidR="004E56BA">
        <w:fldChar w:fldCharType="begin"/>
      </w:r>
      <w:r w:rsidR="004E56BA">
        <w:instrText xml:space="preserve"> REF _Ref56694630 \h </w:instrText>
      </w:r>
      <w:r w:rsidR="004E56BA">
        <w:fldChar w:fldCharType="separate"/>
      </w:r>
      <w:r w:rsidR="00816426">
        <w:t xml:space="preserve">Obr. </w:t>
      </w:r>
      <w:r w:rsidR="00816426">
        <w:rPr>
          <w:noProof/>
        </w:rPr>
        <w:t>24</w:t>
      </w:r>
      <w:r w:rsidR="004E56BA">
        <w:fldChar w:fldCharType="end"/>
      </w:r>
      <w: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15635B" w:rsidTr="00055D7E">
        <w:tc>
          <w:tcPr>
            <w:tcW w:w="9288" w:type="dxa"/>
          </w:tcPr>
          <w:p w:rsidR="0015635B" w:rsidRDefault="00055D7E" w:rsidP="00055D7E">
            <w:pPr>
              <w:keepNext/>
              <w:jc w:val="center"/>
            </w:pPr>
            <w:r w:rsidRPr="00055D7E">
              <w:rPr>
                <w:noProof/>
                <w:lang w:eastAsia="cs-CZ"/>
              </w:rPr>
              <w:drawing>
                <wp:inline distT="0" distB="0" distL="0" distR="0" wp14:anchorId="6F586470" wp14:editId="2D12128D">
                  <wp:extent cx="5334000" cy="2247900"/>
                  <wp:effectExtent l="0" t="0" r="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34000" cy="2247900"/>
                          </a:xfrm>
                          <a:prstGeom prst="rect">
                            <a:avLst/>
                          </a:prstGeom>
                          <a:noFill/>
                          <a:ln>
                            <a:noFill/>
                          </a:ln>
                        </pic:spPr>
                      </pic:pic>
                    </a:graphicData>
                  </a:graphic>
                </wp:inline>
              </w:drawing>
            </w:r>
          </w:p>
        </w:tc>
      </w:tr>
      <w:tr w:rsidR="0015635B" w:rsidTr="00055D7E">
        <w:tc>
          <w:tcPr>
            <w:tcW w:w="9288" w:type="dxa"/>
          </w:tcPr>
          <w:p w:rsidR="0015635B" w:rsidRDefault="004E56BA" w:rsidP="00055D7E">
            <w:pPr>
              <w:pStyle w:val="Obrzek"/>
            </w:pPr>
            <w:bookmarkStart w:id="154" w:name="_Ref56694630"/>
            <w:r>
              <w:t xml:space="preserve">Obr. </w:t>
            </w:r>
            <w:fldSimple w:instr=" SEQ Obr. \* ARABIC ">
              <w:r w:rsidR="00816426">
                <w:rPr>
                  <w:noProof/>
                </w:rPr>
                <w:t>24</w:t>
              </w:r>
            </w:fldSimple>
            <w:bookmarkEnd w:id="154"/>
            <w:r>
              <w:t xml:space="preserve"> Roční hodnoty nákladů a přínosů – varianta </w:t>
            </w:r>
            <w:r w:rsidR="00055D7E">
              <w:t>bez dotace SFŽP ČR</w:t>
            </w:r>
          </w:p>
        </w:tc>
      </w:tr>
    </w:tbl>
    <w:p w:rsidR="00EC760F" w:rsidRDefault="00F30FD8" w:rsidP="00F30FD8">
      <w:pPr>
        <w:pStyle w:val="Nadpis1"/>
      </w:pPr>
      <w:bookmarkStart w:id="155" w:name="_Toc58949402"/>
      <w:r>
        <w:t>HODNOCENÍ EFEKTIVITY A UDRŽITELNOSTI PROJEKTU</w:t>
      </w:r>
      <w:bookmarkEnd w:id="155"/>
    </w:p>
    <w:p w:rsidR="00F30FD8" w:rsidRDefault="00DB7766" w:rsidP="00F30FD8">
      <w:r>
        <w:t>Hodnocení projektu probíhá podle několika různých parametrů. Jmenovitě čistá současná hodnota (NPV), index rentability investice (index NPV), vnitřní výnosové procento (IRR), statická a dynamická doba návratnosti. Diskontní sazba byla volena 5 %.</w:t>
      </w:r>
    </w:p>
    <w:p w:rsidR="00DB7766" w:rsidRPr="00DB7766" w:rsidRDefault="00DB7766" w:rsidP="00163D8D">
      <w:pPr>
        <w:keepNext/>
        <w:rPr>
          <w:b/>
        </w:rPr>
      </w:pPr>
      <w:r w:rsidRPr="00DB7766">
        <w:rPr>
          <w:b/>
        </w:rPr>
        <w:t>Čistá současná hodnota (NPV)</w:t>
      </w:r>
    </w:p>
    <w:p w:rsidR="00DB7766" w:rsidRDefault="00DB7766" w:rsidP="00F30FD8">
      <w:r>
        <w:t xml:space="preserve">Představuje čistý diskontovaný výnos projektu. </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1275"/>
        <w:gridCol w:w="6836"/>
      </w:tblGrid>
      <w:tr w:rsidR="00DB7766" w:rsidTr="001A7140">
        <w:tc>
          <w:tcPr>
            <w:tcW w:w="9212" w:type="dxa"/>
            <w:gridSpan w:val="3"/>
          </w:tcPr>
          <w:p w:rsidR="00DB7766" w:rsidRPr="00DB7766" w:rsidRDefault="00DB7766" w:rsidP="00404AF2">
            <w:pPr>
              <w:keepNext/>
            </w:pPr>
            <m:oMathPara>
              <m:oMathParaPr>
                <m:jc m:val="left"/>
              </m:oMathParaPr>
              <m:oMath>
                <m:r>
                  <w:rPr>
                    <w:rFonts w:ascii="Cambria Math" w:hAnsi="Cambria Math"/>
                  </w:rPr>
                  <m:t>NPV=</m:t>
                </m:r>
                <m:nary>
                  <m:naryPr>
                    <m:chr m:val="∑"/>
                    <m:limLoc m:val="undOvr"/>
                    <m:ctrlPr>
                      <w:rPr>
                        <w:rFonts w:ascii="Cambria Math" w:hAnsi="Cambria Math"/>
                        <w:i/>
                      </w:rPr>
                    </m:ctrlPr>
                  </m:naryPr>
                  <m:sub>
                    <m:r>
                      <w:rPr>
                        <w:rFonts w:ascii="Cambria Math" w:hAnsi="Cambria Math"/>
                      </w:rPr>
                      <m:t>t=0</m:t>
                    </m:r>
                  </m:sub>
                  <m:sup>
                    <m:r>
                      <w:rPr>
                        <w:rFonts w:ascii="Cambria Math" w:hAnsi="Cambria Math"/>
                      </w:rPr>
                      <m:t>n</m:t>
                    </m:r>
                  </m:sup>
                  <m:e>
                    <m:f>
                      <m:fPr>
                        <m:ctrlPr>
                          <w:rPr>
                            <w:rFonts w:ascii="Cambria Math" w:hAnsi="Cambria Math"/>
                            <w:i/>
                          </w:rPr>
                        </m:ctrlPr>
                      </m:fPr>
                      <m:num>
                        <m:sSub>
                          <m:sSubPr>
                            <m:ctrlPr>
                              <w:rPr>
                                <w:rFonts w:ascii="Cambria Math" w:hAnsi="Cambria Math"/>
                                <w:i/>
                              </w:rPr>
                            </m:ctrlPr>
                          </m:sSubPr>
                          <m:e>
                            <m:r>
                              <w:rPr>
                                <w:rFonts w:ascii="Cambria Math" w:hAnsi="Cambria Math"/>
                              </w:rPr>
                              <m:t>čisté cash flow</m:t>
                            </m:r>
                          </m:e>
                          <m:sub>
                            <m:r>
                              <w:rPr>
                                <w:rFonts w:ascii="Cambria Math" w:hAnsi="Cambria Math"/>
                              </w:rPr>
                              <m:t>t</m:t>
                            </m:r>
                          </m:sub>
                        </m:sSub>
                      </m:num>
                      <m:den>
                        <m:sSup>
                          <m:sSupPr>
                            <m:ctrlPr>
                              <w:rPr>
                                <w:rFonts w:ascii="Cambria Math" w:hAnsi="Cambria Math"/>
                                <w:i/>
                                <w:lang w:val="en-US"/>
                              </w:rPr>
                            </m:ctrlPr>
                          </m:sSupPr>
                          <m:e>
                            <m:d>
                              <m:dPr>
                                <m:ctrlPr>
                                  <w:rPr>
                                    <w:rFonts w:ascii="Cambria Math" w:hAnsi="Cambria Math"/>
                                    <w:i/>
                                  </w:rPr>
                                </m:ctrlPr>
                              </m:dPr>
                              <m:e>
                                <m:r>
                                  <w:rPr>
                                    <w:rFonts w:ascii="Cambria Math" w:hAnsi="Cambria Math"/>
                                  </w:rPr>
                                  <m:t>1+r</m:t>
                                </m:r>
                              </m:e>
                            </m:d>
                            <m:ctrlPr>
                              <w:rPr>
                                <w:rFonts w:ascii="Cambria Math" w:hAnsi="Cambria Math"/>
                                <w:i/>
                              </w:rPr>
                            </m:ctrlPr>
                          </m:e>
                          <m:sup>
                            <m:r>
                              <w:rPr>
                                <w:rFonts w:ascii="Cambria Math" w:hAnsi="Cambria Math"/>
                              </w:rPr>
                              <m:t>t</m:t>
                            </m:r>
                          </m:sup>
                        </m:sSup>
                      </m:den>
                    </m:f>
                  </m:e>
                </m:nary>
              </m:oMath>
            </m:oMathPara>
          </w:p>
        </w:tc>
      </w:tr>
      <w:tr w:rsidR="00DB7766" w:rsidTr="001A7140">
        <w:trPr>
          <w:trHeight w:val="397"/>
        </w:trPr>
        <w:tc>
          <w:tcPr>
            <w:tcW w:w="9212" w:type="dxa"/>
            <w:gridSpan w:val="3"/>
            <w:vAlign w:val="center"/>
          </w:tcPr>
          <w:p w:rsidR="00DB7766" w:rsidRDefault="00DB7766" w:rsidP="00404AF2">
            <w:pPr>
              <w:keepNext/>
              <w:tabs>
                <w:tab w:val="left" w:pos="6649"/>
              </w:tabs>
              <w:spacing w:before="0" w:after="0"/>
              <w:jc w:val="left"/>
              <w:rPr>
                <w:rFonts w:eastAsia="Calibri" w:cs="Times New Roman"/>
              </w:rPr>
            </w:pPr>
            <w:r>
              <w:rPr>
                <w:rFonts w:eastAsia="Calibri" w:cs="Times New Roman"/>
              </w:rPr>
              <w:t xml:space="preserve">kde: </w:t>
            </w:r>
            <w:r>
              <w:rPr>
                <w:rFonts w:eastAsia="Calibri" w:cs="Times New Roman"/>
              </w:rPr>
              <w:tab/>
            </w:r>
          </w:p>
        </w:tc>
      </w:tr>
      <w:tr w:rsidR="00DB7766" w:rsidTr="001A7140">
        <w:trPr>
          <w:trHeight w:val="397"/>
        </w:trPr>
        <w:tc>
          <w:tcPr>
            <w:tcW w:w="1101" w:type="dxa"/>
            <w:vAlign w:val="center"/>
          </w:tcPr>
          <w:p w:rsidR="00DB7766" w:rsidRPr="00DB7766" w:rsidRDefault="00DB7766" w:rsidP="00404AF2">
            <w:pPr>
              <w:keepNext/>
              <w:tabs>
                <w:tab w:val="left" w:pos="6649"/>
              </w:tabs>
              <w:spacing w:before="0" w:after="0"/>
              <w:jc w:val="left"/>
              <w:rPr>
                <w:rFonts w:eastAsia="Calibri" w:cs="Times New Roman"/>
              </w:rPr>
            </w:pPr>
            <m:oMathPara>
              <m:oMathParaPr>
                <m:jc m:val="left"/>
              </m:oMathParaPr>
              <m:oMath>
                <m:r>
                  <w:rPr>
                    <w:rFonts w:ascii="Cambria Math" w:eastAsia="Calibri" w:hAnsi="Cambria Math" w:cs="Times New Roman"/>
                  </w:rPr>
                  <m:t>n</m:t>
                </m:r>
              </m:oMath>
            </m:oMathPara>
          </w:p>
        </w:tc>
        <w:tc>
          <w:tcPr>
            <w:tcW w:w="1275" w:type="dxa"/>
            <w:vAlign w:val="center"/>
          </w:tcPr>
          <w:p w:rsidR="00DB7766" w:rsidRPr="00DB7766" w:rsidRDefault="00DB7766" w:rsidP="00404AF2">
            <w:pPr>
              <w:keepNext/>
              <w:tabs>
                <w:tab w:val="left" w:pos="6649"/>
              </w:tabs>
              <w:spacing w:before="0" w:after="0"/>
              <w:jc w:val="center"/>
              <w:rPr>
                <w:rFonts w:eastAsia="Calibri" w:cs="Times New Roman"/>
              </w:rPr>
            </w:pPr>
            <w:r>
              <w:rPr>
                <w:rFonts w:eastAsia="Calibri" w:cs="Times New Roman"/>
                <w:lang w:val="en-US"/>
              </w:rPr>
              <w:t>[–]</w:t>
            </w:r>
          </w:p>
        </w:tc>
        <w:tc>
          <w:tcPr>
            <w:tcW w:w="6836" w:type="dxa"/>
            <w:vAlign w:val="center"/>
          </w:tcPr>
          <w:p w:rsidR="00DB7766" w:rsidRDefault="00DB7766" w:rsidP="00404AF2">
            <w:pPr>
              <w:keepNext/>
              <w:tabs>
                <w:tab w:val="left" w:pos="6649"/>
              </w:tabs>
              <w:spacing w:before="0" w:after="0"/>
              <w:jc w:val="left"/>
              <w:rPr>
                <w:rFonts w:eastAsia="Calibri" w:cs="Times New Roman"/>
              </w:rPr>
            </w:pPr>
            <w:r>
              <w:rPr>
                <w:rFonts w:eastAsia="Calibri" w:cs="Times New Roman"/>
              </w:rPr>
              <w:t>počet let hodnocení projektu</w:t>
            </w:r>
          </w:p>
        </w:tc>
      </w:tr>
      <w:tr w:rsidR="00DB7766" w:rsidTr="001A7140">
        <w:trPr>
          <w:trHeight w:val="397"/>
        </w:trPr>
        <w:tc>
          <w:tcPr>
            <w:tcW w:w="1101" w:type="dxa"/>
            <w:vAlign w:val="center"/>
          </w:tcPr>
          <w:p w:rsidR="00DB7766" w:rsidRPr="00DB7766" w:rsidRDefault="00DB7766" w:rsidP="00404AF2">
            <w:pPr>
              <w:keepNext/>
              <w:tabs>
                <w:tab w:val="left" w:pos="6649"/>
              </w:tabs>
              <w:spacing w:before="0" w:after="0"/>
              <w:jc w:val="left"/>
              <w:rPr>
                <w:rFonts w:eastAsia="Calibri" w:cs="Times New Roman"/>
              </w:rPr>
            </w:pPr>
            <m:oMathPara>
              <m:oMathParaPr>
                <m:jc m:val="left"/>
              </m:oMathParaPr>
              <m:oMath>
                <m:r>
                  <w:rPr>
                    <w:rFonts w:ascii="Cambria Math" w:eastAsia="Calibri" w:hAnsi="Cambria Math" w:cs="Times New Roman"/>
                  </w:rPr>
                  <m:t>t</m:t>
                </m:r>
              </m:oMath>
            </m:oMathPara>
          </w:p>
        </w:tc>
        <w:tc>
          <w:tcPr>
            <w:tcW w:w="1275" w:type="dxa"/>
            <w:vAlign w:val="center"/>
          </w:tcPr>
          <w:p w:rsidR="00DB7766" w:rsidRPr="00DB7766" w:rsidRDefault="00DB7766" w:rsidP="00404AF2">
            <w:pPr>
              <w:keepNext/>
              <w:tabs>
                <w:tab w:val="left" w:pos="6649"/>
              </w:tabs>
              <w:spacing w:before="0" w:after="0"/>
              <w:jc w:val="center"/>
              <w:rPr>
                <w:rFonts w:eastAsia="Calibri" w:cs="Times New Roman"/>
              </w:rPr>
            </w:pPr>
            <w:r>
              <w:rPr>
                <w:rFonts w:eastAsia="Calibri" w:cs="Times New Roman"/>
                <w:lang w:val="en-US"/>
              </w:rPr>
              <w:t>[–]</w:t>
            </w:r>
          </w:p>
        </w:tc>
        <w:tc>
          <w:tcPr>
            <w:tcW w:w="6836" w:type="dxa"/>
            <w:vAlign w:val="center"/>
          </w:tcPr>
          <w:p w:rsidR="00DB7766" w:rsidRDefault="00DB7766" w:rsidP="00404AF2">
            <w:pPr>
              <w:keepNext/>
              <w:tabs>
                <w:tab w:val="left" w:pos="6649"/>
              </w:tabs>
              <w:spacing w:before="0" w:after="0"/>
              <w:jc w:val="left"/>
              <w:rPr>
                <w:rFonts w:eastAsia="Calibri" w:cs="Times New Roman"/>
              </w:rPr>
            </w:pPr>
            <w:r>
              <w:rPr>
                <w:rFonts w:eastAsia="Calibri" w:cs="Times New Roman"/>
              </w:rPr>
              <w:t>aktuální rok hodnocení projektu</w:t>
            </w:r>
          </w:p>
        </w:tc>
      </w:tr>
      <w:tr w:rsidR="00DB7766" w:rsidTr="001A7140">
        <w:trPr>
          <w:trHeight w:val="397"/>
        </w:trPr>
        <w:tc>
          <w:tcPr>
            <w:tcW w:w="1101" w:type="dxa"/>
            <w:vAlign w:val="center"/>
          </w:tcPr>
          <w:p w:rsidR="00DB7766" w:rsidRPr="00DB7766" w:rsidRDefault="00DB7766" w:rsidP="001A7140">
            <w:pPr>
              <w:tabs>
                <w:tab w:val="left" w:pos="6649"/>
              </w:tabs>
              <w:spacing w:before="0" w:after="0"/>
              <w:jc w:val="left"/>
              <w:rPr>
                <w:rFonts w:eastAsia="Calibri" w:cs="Times New Roman"/>
              </w:rPr>
            </w:pPr>
            <m:oMathPara>
              <m:oMathParaPr>
                <m:jc m:val="left"/>
              </m:oMathParaPr>
              <m:oMath>
                <m:r>
                  <w:rPr>
                    <w:rFonts w:ascii="Cambria Math" w:eastAsia="Calibri" w:hAnsi="Cambria Math" w:cs="Times New Roman"/>
                  </w:rPr>
                  <m:t>r</m:t>
                </m:r>
              </m:oMath>
            </m:oMathPara>
          </w:p>
        </w:tc>
        <w:tc>
          <w:tcPr>
            <w:tcW w:w="1275" w:type="dxa"/>
            <w:vAlign w:val="center"/>
          </w:tcPr>
          <w:p w:rsidR="00DB7766" w:rsidRPr="00DB7766" w:rsidRDefault="00DB7766" w:rsidP="001A7140">
            <w:pPr>
              <w:tabs>
                <w:tab w:val="left" w:pos="6649"/>
              </w:tabs>
              <w:spacing w:before="0" w:after="0"/>
              <w:jc w:val="center"/>
              <w:rPr>
                <w:rFonts w:eastAsia="Calibri" w:cs="Times New Roman"/>
              </w:rPr>
            </w:pPr>
            <w:r>
              <w:rPr>
                <w:rFonts w:eastAsia="Calibri" w:cs="Times New Roman"/>
                <w:lang w:val="en-US"/>
              </w:rPr>
              <w:t>[–]</w:t>
            </w:r>
          </w:p>
        </w:tc>
        <w:tc>
          <w:tcPr>
            <w:tcW w:w="6836" w:type="dxa"/>
            <w:vAlign w:val="center"/>
          </w:tcPr>
          <w:p w:rsidR="00DB7766" w:rsidRDefault="00DB7766" w:rsidP="001A7140">
            <w:pPr>
              <w:tabs>
                <w:tab w:val="left" w:pos="6649"/>
              </w:tabs>
              <w:spacing w:before="0" w:after="0"/>
              <w:jc w:val="left"/>
              <w:rPr>
                <w:rFonts w:eastAsia="Calibri" w:cs="Times New Roman"/>
              </w:rPr>
            </w:pPr>
            <w:r>
              <w:rPr>
                <w:rFonts w:eastAsia="Calibri" w:cs="Times New Roman"/>
              </w:rPr>
              <w:t>diskontní sazba</w:t>
            </w:r>
          </w:p>
        </w:tc>
      </w:tr>
    </w:tbl>
    <w:p w:rsidR="00DB7766" w:rsidRPr="00DB7766" w:rsidRDefault="00DB7766" w:rsidP="00F30FD8">
      <w:pPr>
        <w:rPr>
          <w:b/>
        </w:rPr>
      </w:pPr>
      <w:r w:rsidRPr="00DB7766">
        <w:rPr>
          <w:b/>
        </w:rPr>
        <w:t>Index rentability investice</w:t>
      </w:r>
      <w:r w:rsidR="00874C63">
        <w:rPr>
          <w:b/>
        </w:rPr>
        <w:t xml:space="preserve"> (Index NPV)</w:t>
      </w:r>
    </w:p>
    <w:p w:rsidR="00DB7766" w:rsidRDefault="00874C63" w:rsidP="00F30FD8">
      <w:r>
        <w:t>Vyjadřuje velikost čisté současné hodnoty projektu ve vztahu k objemu vložených investičních prostředků.</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1275"/>
        <w:gridCol w:w="6836"/>
      </w:tblGrid>
      <w:tr w:rsidR="00874C63" w:rsidTr="001A7140">
        <w:tc>
          <w:tcPr>
            <w:tcW w:w="9212" w:type="dxa"/>
            <w:gridSpan w:val="3"/>
          </w:tcPr>
          <w:p w:rsidR="00874C63" w:rsidRPr="00DB7766" w:rsidRDefault="00874C63" w:rsidP="00404AF2">
            <w:pPr>
              <w:keepNext/>
            </w:pPr>
            <m:oMathPara>
              <m:oMathParaPr>
                <m:jc m:val="left"/>
              </m:oMathParaPr>
              <m:oMath>
                <m:r>
                  <w:rPr>
                    <w:rFonts w:ascii="Cambria Math" w:hAnsi="Cambria Math"/>
                  </w:rPr>
                  <m:t>Index NPV=</m:t>
                </m:r>
                <m:f>
                  <m:fPr>
                    <m:ctrlPr>
                      <w:rPr>
                        <w:rFonts w:ascii="Cambria Math" w:hAnsi="Cambria Math"/>
                        <w:i/>
                      </w:rPr>
                    </m:ctrlPr>
                  </m:fPr>
                  <m:num>
                    <m:r>
                      <w:rPr>
                        <w:rFonts w:ascii="Cambria Math" w:hAnsi="Cambria Math"/>
                      </w:rPr>
                      <m:t>NPV</m:t>
                    </m:r>
                  </m:num>
                  <m:den>
                    <m:nary>
                      <m:naryPr>
                        <m:chr m:val="∑"/>
                        <m:limLoc m:val="undOvr"/>
                        <m:ctrlPr>
                          <w:rPr>
                            <w:rFonts w:ascii="Cambria Math" w:hAnsi="Cambria Math"/>
                            <w:i/>
                          </w:rPr>
                        </m:ctrlPr>
                      </m:naryPr>
                      <m:sub>
                        <m:r>
                          <w:rPr>
                            <w:rFonts w:ascii="Cambria Math" w:hAnsi="Cambria Math"/>
                          </w:rPr>
                          <m:t>t=0</m:t>
                        </m:r>
                      </m:sub>
                      <m:sup>
                        <m:r>
                          <w:rPr>
                            <w:rFonts w:ascii="Cambria Math" w:hAnsi="Cambria Math"/>
                          </w:rPr>
                          <m:t>n</m:t>
                        </m:r>
                      </m:sup>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t</m:t>
                                </m:r>
                              </m:sub>
                            </m:sSub>
                          </m:num>
                          <m:den>
                            <m:sSup>
                              <m:sSupPr>
                                <m:ctrlPr>
                                  <w:rPr>
                                    <w:rFonts w:ascii="Cambria Math" w:hAnsi="Cambria Math"/>
                                    <w:i/>
                                    <w:lang w:val="en-US"/>
                                  </w:rPr>
                                </m:ctrlPr>
                              </m:sSupPr>
                              <m:e>
                                <m:d>
                                  <m:dPr>
                                    <m:ctrlPr>
                                      <w:rPr>
                                        <w:rFonts w:ascii="Cambria Math" w:hAnsi="Cambria Math"/>
                                        <w:i/>
                                      </w:rPr>
                                    </m:ctrlPr>
                                  </m:dPr>
                                  <m:e>
                                    <m:r>
                                      <w:rPr>
                                        <w:rFonts w:ascii="Cambria Math" w:hAnsi="Cambria Math"/>
                                      </w:rPr>
                                      <m:t>1+r</m:t>
                                    </m:r>
                                  </m:e>
                                </m:d>
                                <m:ctrlPr>
                                  <w:rPr>
                                    <w:rFonts w:ascii="Cambria Math" w:hAnsi="Cambria Math"/>
                                    <w:i/>
                                  </w:rPr>
                                </m:ctrlPr>
                              </m:e>
                              <m:sup>
                                <m:r>
                                  <w:rPr>
                                    <w:rFonts w:ascii="Cambria Math" w:hAnsi="Cambria Math"/>
                                  </w:rPr>
                                  <m:t>t</m:t>
                                </m:r>
                              </m:sup>
                            </m:sSup>
                          </m:den>
                        </m:f>
                      </m:e>
                    </m:nary>
                  </m:den>
                </m:f>
              </m:oMath>
            </m:oMathPara>
          </w:p>
        </w:tc>
      </w:tr>
      <w:tr w:rsidR="00874C63" w:rsidTr="001A7140">
        <w:trPr>
          <w:trHeight w:val="397"/>
        </w:trPr>
        <w:tc>
          <w:tcPr>
            <w:tcW w:w="9212" w:type="dxa"/>
            <w:gridSpan w:val="3"/>
            <w:vAlign w:val="center"/>
          </w:tcPr>
          <w:p w:rsidR="00874C63" w:rsidRDefault="00874C63" w:rsidP="00404AF2">
            <w:pPr>
              <w:keepNext/>
              <w:tabs>
                <w:tab w:val="left" w:pos="6649"/>
              </w:tabs>
              <w:spacing w:before="0" w:after="0"/>
              <w:jc w:val="left"/>
              <w:rPr>
                <w:rFonts w:eastAsia="Calibri" w:cs="Times New Roman"/>
              </w:rPr>
            </w:pPr>
            <w:r>
              <w:rPr>
                <w:rFonts w:eastAsia="Calibri" w:cs="Times New Roman"/>
              </w:rPr>
              <w:t xml:space="preserve">kde: </w:t>
            </w:r>
            <w:r>
              <w:rPr>
                <w:rFonts w:eastAsia="Calibri" w:cs="Times New Roman"/>
              </w:rPr>
              <w:tab/>
            </w:r>
          </w:p>
        </w:tc>
      </w:tr>
      <w:tr w:rsidR="001A7140" w:rsidTr="001A7140">
        <w:trPr>
          <w:trHeight w:val="397"/>
        </w:trPr>
        <w:tc>
          <w:tcPr>
            <w:tcW w:w="1101" w:type="dxa"/>
            <w:vAlign w:val="center"/>
          </w:tcPr>
          <w:p w:rsidR="00874C63" w:rsidRPr="00DB7766" w:rsidRDefault="00874C63" w:rsidP="001A7140">
            <w:pPr>
              <w:tabs>
                <w:tab w:val="left" w:pos="6649"/>
              </w:tabs>
              <w:spacing w:before="0" w:after="0"/>
              <w:jc w:val="left"/>
              <w:rPr>
                <w:rFonts w:eastAsia="Calibri" w:cs="Times New Roman"/>
              </w:rPr>
            </w:pPr>
            <m:oMathPara>
              <m:oMathParaPr>
                <m:jc m:val="left"/>
              </m:oMathParaPr>
              <m:oMath>
                <m:r>
                  <w:rPr>
                    <w:rFonts w:ascii="Cambria Math" w:eastAsia="Calibri" w:hAnsi="Cambria Math" w:cs="Times New Roman"/>
                  </w:rPr>
                  <m:t>I</m:t>
                </m:r>
              </m:oMath>
            </m:oMathPara>
          </w:p>
        </w:tc>
        <w:tc>
          <w:tcPr>
            <w:tcW w:w="1275" w:type="dxa"/>
            <w:vAlign w:val="center"/>
          </w:tcPr>
          <w:p w:rsidR="00874C63" w:rsidRPr="00DB7766" w:rsidRDefault="00874C63" w:rsidP="001A7140">
            <w:pPr>
              <w:tabs>
                <w:tab w:val="left" w:pos="6649"/>
              </w:tabs>
              <w:spacing w:before="0" w:after="0"/>
              <w:jc w:val="center"/>
              <w:rPr>
                <w:rFonts w:eastAsia="Calibri" w:cs="Times New Roman"/>
              </w:rPr>
            </w:pPr>
            <w:r>
              <w:rPr>
                <w:rFonts w:eastAsia="Calibri" w:cs="Times New Roman"/>
                <w:lang w:val="en-US"/>
              </w:rPr>
              <w:t>[Kč]</w:t>
            </w:r>
          </w:p>
        </w:tc>
        <w:tc>
          <w:tcPr>
            <w:tcW w:w="6836" w:type="dxa"/>
            <w:vAlign w:val="center"/>
          </w:tcPr>
          <w:p w:rsidR="00874C63" w:rsidRDefault="00874C63" w:rsidP="001A7140">
            <w:pPr>
              <w:tabs>
                <w:tab w:val="left" w:pos="6649"/>
              </w:tabs>
              <w:spacing w:before="0" w:after="0"/>
              <w:jc w:val="left"/>
              <w:rPr>
                <w:rFonts w:eastAsia="Calibri" w:cs="Times New Roman"/>
              </w:rPr>
            </w:pPr>
            <w:r>
              <w:rPr>
                <w:rFonts w:eastAsia="Calibri" w:cs="Times New Roman"/>
              </w:rPr>
              <w:t>investovaná částka</w:t>
            </w:r>
          </w:p>
        </w:tc>
      </w:tr>
    </w:tbl>
    <w:p w:rsidR="00874C63" w:rsidRDefault="00874C63" w:rsidP="00F30FD8">
      <w:pPr>
        <w:rPr>
          <w:b/>
        </w:rPr>
      </w:pPr>
      <w:r w:rsidRPr="00874C63">
        <w:rPr>
          <w:b/>
        </w:rPr>
        <w:t>Vnitřní výnosové procento (IRR)</w:t>
      </w:r>
    </w:p>
    <w:p w:rsidR="00874C63" w:rsidRDefault="00874C63" w:rsidP="00F30FD8">
      <w:r>
        <w:t>Taková úroková míra, při které se současná hodnota peněžních příjmů z investice rovná kapitálovým výdajům.</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874C63" w:rsidTr="001A7140">
        <w:tc>
          <w:tcPr>
            <w:tcW w:w="9212" w:type="dxa"/>
          </w:tcPr>
          <w:p w:rsidR="00874C63" w:rsidRPr="00DB7766" w:rsidRDefault="008626D5" w:rsidP="001A7140">
            <w:pPr>
              <w:spacing w:before="0" w:after="0"/>
            </w:pPr>
            <m:oMathPara>
              <m:oMathParaPr>
                <m:jc m:val="left"/>
              </m:oMathParaPr>
              <m:oMath>
                <m:nary>
                  <m:naryPr>
                    <m:chr m:val="∑"/>
                    <m:limLoc m:val="undOvr"/>
                    <m:ctrlPr>
                      <w:rPr>
                        <w:rFonts w:ascii="Cambria Math" w:hAnsi="Cambria Math"/>
                        <w:i/>
                      </w:rPr>
                    </m:ctrlPr>
                  </m:naryPr>
                  <m:sub>
                    <m:r>
                      <w:rPr>
                        <w:rFonts w:ascii="Cambria Math" w:hAnsi="Cambria Math"/>
                      </w:rPr>
                      <m:t>t=0</m:t>
                    </m:r>
                  </m:sub>
                  <m:sup>
                    <m:r>
                      <w:rPr>
                        <w:rFonts w:ascii="Cambria Math" w:hAnsi="Cambria Math"/>
                      </w:rPr>
                      <m:t>n</m:t>
                    </m:r>
                  </m:sup>
                  <m:e>
                    <m:f>
                      <m:fPr>
                        <m:ctrlPr>
                          <w:rPr>
                            <w:rFonts w:ascii="Cambria Math" w:hAnsi="Cambria Math"/>
                            <w:i/>
                          </w:rPr>
                        </m:ctrlPr>
                      </m:fPr>
                      <m:num>
                        <m:sSub>
                          <m:sSubPr>
                            <m:ctrlPr>
                              <w:rPr>
                                <w:rFonts w:ascii="Cambria Math" w:hAnsi="Cambria Math"/>
                                <w:i/>
                              </w:rPr>
                            </m:ctrlPr>
                          </m:sSubPr>
                          <m:e>
                            <m:r>
                              <w:rPr>
                                <w:rFonts w:ascii="Cambria Math" w:hAnsi="Cambria Math"/>
                              </w:rPr>
                              <m:t>čisté cash flow</m:t>
                            </m:r>
                          </m:e>
                          <m:sub>
                            <m:r>
                              <w:rPr>
                                <w:rFonts w:ascii="Cambria Math" w:hAnsi="Cambria Math"/>
                              </w:rPr>
                              <m:t>t</m:t>
                            </m:r>
                          </m:sub>
                        </m:sSub>
                      </m:num>
                      <m:den>
                        <m:sSup>
                          <m:sSupPr>
                            <m:ctrlPr>
                              <w:rPr>
                                <w:rFonts w:ascii="Cambria Math" w:hAnsi="Cambria Math"/>
                                <w:i/>
                                <w:lang w:val="en-US"/>
                              </w:rPr>
                            </m:ctrlPr>
                          </m:sSupPr>
                          <m:e>
                            <m:d>
                              <m:dPr>
                                <m:ctrlPr>
                                  <w:rPr>
                                    <w:rFonts w:ascii="Cambria Math" w:hAnsi="Cambria Math"/>
                                    <w:i/>
                                  </w:rPr>
                                </m:ctrlPr>
                              </m:dPr>
                              <m:e>
                                <m:r>
                                  <w:rPr>
                                    <w:rFonts w:ascii="Cambria Math" w:hAnsi="Cambria Math"/>
                                  </w:rPr>
                                  <m:t>1+IRR</m:t>
                                </m:r>
                              </m:e>
                            </m:d>
                            <m:ctrlPr>
                              <w:rPr>
                                <w:rFonts w:ascii="Cambria Math" w:hAnsi="Cambria Math"/>
                                <w:i/>
                              </w:rPr>
                            </m:ctrlPr>
                          </m:e>
                          <m:sup>
                            <m:r>
                              <w:rPr>
                                <w:rFonts w:ascii="Cambria Math" w:hAnsi="Cambria Math"/>
                              </w:rPr>
                              <m:t>t</m:t>
                            </m:r>
                          </m:sup>
                        </m:sSup>
                      </m:den>
                    </m:f>
                    <m:r>
                      <w:rPr>
                        <w:rFonts w:ascii="Cambria Math" w:hAnsi="Cambria Math"/>
                      </w:rPr>
                      <m:t>=0</m:t>
                    </m:r>
                  </m:e>
                </m:nary>
              </m:oMath>
            </m:oMathPara>
          </w:p>
        </w:tc>
      </w:tr>
    </w:tbl>
    <w:p w:rsidR="00874C63" w:rsidRPr="00874C63" w:rsidRDefault="00874C63" w:rsidP="00F30FD8">
      <w:pPr>
        <w:rPr>
          <w:b/>
        </w:rPr>
      </w:pPr>
      <w:r w:rsidRPr="00874C63">
        <w:rPr>
          <w:b/>
        </w:rPr>
        <w:t xml:space="preserve">Statická doba návratnosti </w:t>
      </w:r>
    </w:p>
    <w:p w:rsidR="00874C63" w:rsidRDefault="00874C63" w:rsidP="001A7140">
      <w:r>
        <w:t>Statická doba návratnosti bývá vyjadřována v letech se započtením roku, kdy kumulovaný součet hotovostních toků projektu poprvé dosáhl nezáporné hodnoty (se započítáním roku 0).</w:t>
      </w:r>
    </w:p>
    <w:p w:rsidR="00874C63" w:rsidRPr="00874C63" w:rsidRDefault="00874C63" w:rsidP="00F30FD8">
      <w:pPr>
        <w:rPr>
          <w:b/>
        </w:rPr>
      </w:pPr>
      <w:r w:rsidRPr="00874C63">
        <w:rPr>
          <w:b/>
        </w:rPr>
        <w:t>Dynamická doba návratnosti</w:t>
      </w:r>
    </w:p>
    <w:p w:rsidR="00874C63" w:rsidRDefault="00874C63" w:rsidP="00F30FD8">
      <w:r>
        <w:t xml:space="preserve">Dynamická doba návratnosti bývá vyjadřována v letech se započtením roku, kdy kumulovaný součet diskontovaných hotovostních toků projektu poprvé dosáhl nezáporné hodnoty (se započítáním roku 0). </w:t>
      </w:r>
    </w:p>
    <w:p w:rsidR="001A7140" w:rsidRDefault="00AB4855" w:rsidP="00AB4855">
      <w:pPr>
        <w:pStyle w:val="Nadpis2"/>
      </w:pPr>
      <w:bookmarkStart w:id="156" w:name="_Toc58949403"/>
      <w:r>
        <w:t>Varianta B</w:t>
      </w:r>
      <w:r w:rsidR="00914F1B">
        <w:t xml:space="preserve"> – KGJ </w:t>
      </w:r>
      <w:r w:rsidR="00055D7E">
        <w:t>(bez dotace SFŽP</w:t>
      </w:r>
      <w:r w:rsidR="00A132C4">
        <w:t xml:space="preserve"> ČR</w:t>
      </w:r>
      <w:r w:rsidR="00055D7E">
        <w:t>)</w:t>
      </w:r>
      <w:bookmarkEnd w:id="156"/>
    </w:p>
    <w:p w:rsidR="00AB4855" w:rsidRDefault="00AB4855" w:rsidP="008C750F">
      <w:pPr>
        <w:keepNext/>
      </w:pPr>
      <w:r>
        <w:t>Vypočtené ukazatele pro variantu B</w:t>
      </w:r>
      <w:r w:rsidR="00A132C4">
        <w:t xml:space="preserve"> bez dotace SFŽP ČR</w:t>
      </w:r>
      <w:r>
        <w:t xml:space="preserve"> znázorňuje </w:t>
      </w:r>
      <w:r>
        <w:fldChar w:fldCharType="begin"/>
      </w:r>
      <w:r>
        <w:instrText xml:space="preserve"> REF _Ref56700493 \h </w:instrText>
      </w:r>
      <w:r>
        <w:fldChar w:fldCharType="separate"/>
      </w:r>
      <w:r w:rsidR="00816426">
        <w:t xml:space="preserve">Obr. </w:t>
      </w:r>
      <w:r w:rsidR="00816426">
        <w:rPr>
          <w:noProof/>
        </w:rPr>
        <w:t>25</w:t>
      </w:r>
      <w:r>
        <w:fldChar w:fldCharType="end"/>
      </w:r>
      <w: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AB4855" w:rsidTr="004E660E">
        <w:tc>
          <w:tcPr>
            <w:tcW w:w="9212" w:type="dxa"/>
          </w:tcPr>
          <w:p w:rsidR="00AB4855" w:rsidRDefault="008626D5" w:rsidP="00AB4855">
            <w:pPr>
              <w:keepNext/>
              <w:jc w:val="center"/>
            </w:pPr>
            <w:r w:rsidRPr="008626D5">
              <w:rPr>
                <w:noProof/>
                <w:lang w:eastAsia="cs-CZ"/>
              </w:rPr>
              <w:drawing>
                <wp:inline distT="0" distB="0" distL="0" distR="0" wp14:anchorId="295E7A6C" wp14:editId="288B5ADA">
                  <wp:extent cx="3779900" cy="3312000"/>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79900" cy="3312000"/>
                          </a:xfrm>
                          <a:prstGeom prst="rect">
                            <a:avLst/>
                          </a:prstGeom>
                          <a:noFill/>
                          <a:ln>
                            <a:noFill/>
                          </a:ln>
                        </pic:spPr>
                      </pic:pic>
                    </a:graphicData>
                  </a:graphic>
                </wp:inline>
              </w:drawing>
            </w:r>
          </w:p>
        </w:tc>
      </w:tr>
      <w:tr w:rsidR="00AB4855" w:rsidTr="004E660E">
        <w:tc>
          <w:tcPr>
            <w:tcW w:w="9212" w:type="dxa"/>
          </w:tcPr>
          <w:p w:rsidR="00AB4855" w:rsidRDefault="00AB4855" w:rsidP="00F91C8B">
            <w:pPr>
              <w:pStyle w:val="Obrzek"/>
              <w:keepNext w:val="0"/>
            </w:pPr>
            <w:bookmarkStart w:id="157" w:name="_Ref56700493"/>
            <w:r>
              <w:t xml:space="preserve">Obr. </w:t>
            </w:r>
            <w:fldSimple w:instr=" SEQ Obr. \* ARABIC ">
              <w:r w:rsidR="00816426">
                <w:rPr>
                  <w:noProof/>
                </w:rPr>
                <w:t>25</w:t>
              </w:r>
            </w:fldSimple>
            <w:bookmarkEnd w:id="157"/>
            <w:r>
              <w:t xml:space="preserve"> Finanční ukazatele pro variantu B</w:t>
            </w:r>
            <w:r w:rsidR="00055D7E">
              <w:t xml:space="preserve"> bez </w:t>
            </w:r>
            <w:r w:rsidR="00A132C4">
              <w:t>dotace SFŽP</w:t>
            </w:r>
            <w:r w:rsidR="002F0915">
              <w:t xml:space="preserve"> ČR</w:t>
            </w:r>
          </w:p>
        </w:tc>
      </w:tr>
    </w:tbl>
    <w:p w:rsidR="00AB4855" w:rsidRDefault="00AB4855" w:rsidP="00AB4855">
      <w:r>
        <w:t>Kumulovaný součet hotovostních a diskontovaných hotovostních toků představuje</w:t>
      </w:r>
      <w:r w:rsidR="00863295">
        <w:t xml:space="preserve"> </w:t>
      </w:r>
      <w:r w:rsidR="00863295">
        <w:fldChar w:fldCharType="begin"/>
      </w:r>
      <w:r w:rsidR="00863295">
        <w:instrText xml:space="preserve"> REF _Ref57652445 \h </w:instrText>
      </w:r>
      <w:r w:rsidR="00863295">
        <w:fldChar w:fldCharType="separate"/>
      </w:r>
      <w:r w:rsidR="00816426">
        <w:t xml:space="preserve">Graf </w:t>
      </w:r>
      <w:r w:rsidR="00816426">
        <w:rPr>
          <w:noProof/>
        </w:rPr>
        <w:t>19</w:t>
      </w:r>
      <w:r w:rsidR="00863295">
        <w:fldChar w:fldCharType="end"/>
      </w:r>
      <w:r>
        <w:t>.</w:t>
      </w:r>
    </w:p>
    <w:tbl>
      <w:tblPr>
        <w:tblStyle w:val="Mkatabulky"/>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212"/>
      </w:tblGrid>
      <w:tr w:rsidR="00AB4855" w:rsidTr="005347D0">
        <w:tc>
          <w:tcPr>
            <w:tcW w:w="9212" w:type="dxa"/>
          </w:tcPr>
          <w:p w:rsidR="00AB4855" w:rsidRDefault="005347D0" w:rsidP="0021555B">
            <w:pPr>
              <w:keepNext/>
            </w:pPr>
            <w:r>
              <w:rPr>
                <w:noProof/>
                <w:lang w:eastAsia="cs-CZ"/>
              </w:rPr>
              <w:drawing>
                <wp:inline distT="0" distB="0" distL="0" distR="0" wp14:anchorId="052919F7" wp14:editId="14D5D81F">
                  <wp:extent cx="5760720" cy="3960000"/>
                  <wp:effectExtent l="0" t="0" r="0" b="0"/>
                  <wp:docPr id="57" name="Graf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r w:rsidR="00AB4855" w:rsidTr="0021555B">
        <w:tblPrEx>
          <w:tblCellMar>
            <w:left w:w="108" w:type="dxa"/>
            <w:right w:w="108" w:type="dxa"/>
          </w:tblCellMar>
        </w:tblPrEx>
        <w:tc>
          <w:tcPr>
            <w:tcW w:w="9212" w:type="dxa"/>
          </w:tcPr>
          <w:p w:rsidR="00AB4855" w:rsidRPr="0021555B" w:rsidRDefault="0021555B" w:rsidP="00A132C4">
            <w:pPr>
              <w:pStyle w:val="Obrzek"/>
              <w:keepNext w:val="0"/>
            </w:pPr>
            <w:bookmarkStart w:id="158" w:name="_Ref57652445"/>
            <w:r>
              <w:t xml:space="preserve">Graf </w:t>
            </w:r>
            <w:fldSimple w:instr=" SEQ Graf \* ARABIC ">
              <w:r w:rsidR="00816426">
                <w:rPr>
                  <w:noProof/>
                </w:rPr>
                <w:t>19</w:t>
              </w:r>
            </w:fldSimple>
            <w:bookmarkEnd w:id="158"/>
            <w:r>
              <w:t xml:space="preserve"> Statická a dynamická doba návratnosti (varianta </w:t>
            </w:r>
            <w:r w:rsidR="00A132C4">
              <w:t>bez dotace SFŽP ČR</w:t>
            </w:r>
            <w:r>
              <w:t>)</w:t>
            </w:r>
          </w:p>
        </w:tc>
      </w:tr>
    </w:tbl>
    <w:p w:rsidR="00A132C4" w:rsidRDefault="00A132C4" w:rsidP="006A203B">
      <w:pPr>
        <w:pStyle w:val="Nadpis2"/>
      </w:pPr>
      <w:bookmarkStart w:id="159" w:name="_Toc58949404"/>
      <w:r>
        <w:t>Varianta B – KGJ (s dotací SFŽP ČR)</w:t>
      </w:r>
      <w:bookmarkEnd w:id="159"/>
    </w:p>
    <w:p w:rsidR="00A132C4" w:rsidRDefault="00A132C4" w:rsidP="00A132C4">
      <w:r>
        <w:t xml:space="preserve">Vypočtené ukazatele pro variantu B s dotací SFŽP ČR znázorňuje </w:t>
      </w:r>
      <w:r w:rsidR="00412C0C">
        <w:fldChar w:fldCharType="begin"/>
      </w:r>
      <w:r w:rsidR="00412C0C">
        <w:instrText xml:space="preserve"> REF _Ref58362802 \h </w:instrText>
      </w:r>
      <w:r w:rsidR="00412C0C">
        <w:fldChar w:fldCharType="separate"/>
      </w:r>
      <w:r w:rsidR="00816426">
        <w:t xml:space="preserve">Obr. </w:t>
      </w:r>
      <w:r w:rsidR="00816426">
        <w:rPr>
          <w:noProof/>
        </w:rPr>
        <w:t>26</w:t>
      </w:r>
      <w:r w:rsidR="00412C0C">
        <w:fldChar w:fldCharType="end"/>
      </w:r>
      <w:r>
        <w:t>.</w:t>
      </w:r>
      <w:r w:rsidR="002F0915">
        <w:t xml:space="preserve"> Dotace ze SFŽP byla stanovena jako částka odpovídající 40 % z investičních nákladů KGJ před přičtením vedlejších rozpočtových nákladů a rozpočtové rezervy, tj. částka přibližně </w:t>
      </w:r>
      <w:r w:rsidR="00D178A6">
        <w:t>5,33</w:t>
      </w:r>
      <w:r w:rsidR="002F0915">
        <w:t xml:space="preserve"> mil. Kč</w:t>
      </w:r>
      <w:r w:rsidR="00970567">
        <w:t> bez DPH</w:t>
      </w:r>
      <w:r w:rsidR="002F0915">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2"/>
      </w:tblGrid>
      <w:tr w:rsidR="002F0915" w:rsidTr="00412C0C">
        <w:tc>
          <w:tcPr>
            <w:tcW w:w="9212" w:type="dxa"/>
          </w:tcPr>
          <w:p w:rsidR="002F0915" w:rsidRDefault="00D178A6" w:rsidP="002F0915">
            <w:pPr>
              <w:keepNext/>
              <w:jc w:val="center"/>
            </w:pPr>
            <w:r w:rsidRPr="00D178A6">
              <w:rPr>
                <w:noProof/>
                <w:lang w:eastAsia="cs-CZ"/>
              </w:rPr>
              <w:drawing>
                <wp:inline distT="0" distB="0" distL="0" distR="0" wp14:anchorId="6AD0EA5C" wp14:editId="6BBBC81A">
                  <wp:extent cx="3779900" cy="3312000"/>
                  <wp:effectExtent l="0" t="0" r="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79900" cy="3312000"/>
                          </a:xfrm>
                          <a:prstGeom prst="rect">
                            <a:avLst/>
                          </a:prstGeom>
                          <a:noFill/>
                          <a:ln>
                            <a:noFill/>
                          </a:ln>
                        </pic:spPr>
                      </pic:pic>
                    </a:graphicData>
                  </a:graphic>
                </wp:inline>
              </w:drawing>
            </w:r>
          </w:p>
        </w:tc>
      </w:tr>
      <w:tr w:rsidR="002F0915" w:rsidTr="00412C0C">
        <w:tc>
          <w:tcPr>
            <w:tcW w:w="9212" w:type="dxa"/>
          </w:tcPr>
          <w:p w:rsidR="002F0915" w:rsidRDefault="002F0915" w:rsidP="002F0915">
            <w:pPr>
              <w:pStyle w:val="Obrzek"/>
              <w:keepNext w:val="0"/>
            </w:pPr>
            <w:bookmarkStart w:id="160" w:name="_Ref58362802"/>
            <w:r>
              <w:t xml:space="preserve">Obr. </w:t>
            </w:r>
            <w:fldSimple w:instr=" SEQ Obr. \* ARABIC ">
              <w:r w:rsidR="00816426">
                <w:rPr>
                  <w:noProof/>
                </w:rPr>
                <w:t>26</w:t>
              </w:r>
            </w:fldSimple>
            <w:bookmarkEnd w:id="160"/>
            <w:r>
              <w:t xml:space="preserve"> Finanční ukazatele pro variantu B s dotací SFŽP ČR</w:t>
            </w:r>
          </w:p>
        </w:tc>
      </w:tr>
    </w:tbl>
    <w:p w:rsidR="00A132C4" w:rsidRDefault="00412C0C" w:rsidP="00A132C4">
      <w:r>
        <w:t xml:space="preserve">Kumulovaný součet hotovostních a diskontovaných hotovostních toků představuje </w:t>
      </w:r>
      <w:r>
        <w:fldChar w:fldCharType="begin"/>
      </w:r>
      <w:r>
        <w:instrText xml:space="preserve"> REF _Ref58363052 \h </w:instrText>
      </w:r>
      <w:r>
        <w:fldChar w:fldCharType="separate"/>
      </w:r>
      <w:r w:rsidR="00816426">
        <w:t xml:space="preserve">Graf </w:t>
      </w:r>
      <w:r w:rsidR="00816426">
        <w:rPr>
          <w:noProof/>
        </w:rPr>
        <w:t>20</w:t>
      </w:r>
      <w:r>
        <w:fldChar w:fldCharType="end"/>
      </w:r>
      <w:r>
        <w:t>.</w:t>
      </w:r>
    </w:p>
    <w:tbl>
      <w:tblPr>
        <w:tblStyle w:val="Mkatabulky"/>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9212"/>
      </w:tblGrid>
      <w:tr w:rsidR="00412C0C" w:rsidTr="00F37377">
        <w:tc>
          <w:tcPr>
            <w:tcW w:w="9212" w:type="dxa"/>
          </w:tcPr>
          <w:p w:rsidR="00412C0C" w:rsidRDefault="00F37377" w:rsidP="00412C0C">
            <w:pPr>
              <w:keepNext/>
            </w:pPr>
            <w:r>
              <w:rPr>
                <w:noProof/>
                <w:lang w:eastAsia="cs-CZ"/>
              </w:rPr>
              <w:drawing>
                <wp:inline distT="0" distB="0" distL="0" distR="0" wp14:anchorId="1DF870E1" wp14:editId="5F0F1CB6">
                  <wp:extent cx="5760720" cy="3960000"/>
                  <wp:effectExtent l="0" t="0" r="0" b="0"/>
                  <wp:docPr id="84" name="Graf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r w:rsidR="00412C0C" w:rsidTr="00412C0C">
        <w:tblPrEx>
          <w:tblCellMar>
            <w:left w:w="108" w:type="dxa"/>
            <w:right w:w="108" w:type="dxa"/>
          </w:tblCellMar>
        </w:tblPrEx>
        <w:tc>
          <w:tcPr>
            <w:tcW w:w="9212" w:type="dxa"/>
          </w:tcPr>
          <w:p w:rsidR="00412C0C" w:rsidRDefault="00412C0C" w:rsidP="00412C0C">
            <w:pPr>
              <w:pStyle w:val="Obrzek"/>
              <w:keepNext w:val="0"/>
            </w:pPr>
            <w:bookmarkStart w:id="161" w:name="_Ref58363052"/>
            <w:r>
              <w:t xml:space="preserve">Graf </w:t>
            </w:r>
            <w:fldSimple w:instr=" SEQ Graf \* ARABIC ">
              <w:r w:rsidR="00816426">
                <w:rPr>
                  <w:noProof/>
                </w:rPr>
                <w:t>20</w:t>
              </w:r>
            </w:fldSimple>
            <w:bookmarkEnd w:id="161"/>
            <w:r>
              <w:t xml:space="preserve"> Statická a dynamická doba návratnosti (varianta s dotací SFŽP ČR)</w:t>
            </w:r>
          </w:p>
        </w:tc>
      </w:tr>
    </w:tbl>
    <w:p w:rsidR="00AB4855" w:rsidRDefault="006A203B" w:rsidP="006A203B">
      <w:pPr>
        <w:pStyle w:val="Nadpis2"/>
      </w:pPr>
      <w:bookmarkStart w:id="162" w:name="_Toc58949405"/>
      <w:r>
        <w:t>Závěr finanční analýzy</w:t>
      </w:r>
      <w:bookmarkEnd w:id="162"/>
      <w:r>
        <w:t xml:space="preserve"> </w:t>
      </w:r>
    </w:p>
    <w:p w:rsidR="00231271" w:rsidRDefault="00565D2E" w:rsidP="006A203B">
      <w:r>
        <w:t xml:space="preserve">Čistá současná hodnota NPV investice bez uvažování dotace ze SFŽP ČR je přibližně </w:t>
      </w:r>
      <w:r w:rsidR="00D178A6">
        <w:t>7,7</w:t>
      </w:r>
      <w:r>
        <w:t> mil. Kč</w:t>
      </w:r>
      <w:r w:rsidR="00970567">
        <w:t> bez DPH</w:t>
      </w:r>
      <w:r>
        <w:t xml:space="preserve">. Index rentability (index NPV) vychází </w:t>
      </w:r>
      <w:r w:rsidR="00D178A6">
        <w:t>0,50</w:t>
      </w:r>
      <w:r>
        <w:t xml:space="preserve"> a vnitřní výnosové procento IRR </w:t>
      </w:r>
      <w:r w:rsidR="00D178A6">
        <w:t>10,</w:t>
      </w:r>
      <w:r w:rsidR="008626D5">
        <w:t>7</w:t>
      </w:r>
      <w:r>
        <w:t xml:space="preserve"> %. Statická doba návratnosti činí </w:t>
      </w:r>
      <w:r w:rsidR="00D178A6">
        <w:t>10</w:t>
      </w:r>
      <w:r>
        <w:t>, dynamická pak 1</w:t>
      </w:r>
      <w:r w:rsidR="00D178A6">
        <w:t>3</w:t>
      </w:r>
      <w:r>
        <w:t xml:space="preserve"> let.</w:t>
      </w:r>
    </w:p>
    <w:p w:rsidR="00565D2E" w:rsidRDefault="00565D2E" w:rsidP="006A203B">
      <w:r>
        <w:t xml:space="preserve">Čistá současná hodnota NPV investice s uvažováním dotace ze SFŽP ČR je přibližně </w:t>
      </w:r>
      <w:r w:rsidR="00D178A6">
        <w:t>13,0</w:t>
      </w:r>
      <w:r>
        <w:t> mil. Kč</w:t>
      </w:r>
      <w:r w:rsidR="00970567">
        <w:t> bez DPH</w:t>
      </w:r>
      <w:r>
        <w:t>. Index rentability (index NPV) vychází 1,</w:t>
      </w:r>
      <w:r w:rsidR="00D178A6">
        <w:t>29</w:t>
      </w:r>
      <w:r>
        <w:t xml:space="preserve"> a vnitřní výnosové procento IRR </w:t>
      </w:r>
      <w:r w:rsidR="00D178A6">
        <w:t>20,2</w:t>
      </w:r>
      <w:r>
        <w:t xml:space="preserve"> %. Statická doba návratnosti pak vychází </w:t>
      </w:r>
      <w:r w:rsidR="00D178A6">
        <w:t>6</w:t>
      </w:r>
      <w:r>
        <w:t xml:space="preserve">, dynamická pak </w:t>
      </w:r>
      <w:r w:rsidR="00D178A6">
        <w:t>7</w:t>
      </w:r>
      <w:r>
        <w:t xml:space="preserve"> let.</w:t>
      </w:r>
    </w:p>
    <w:p w:rsidR="00565D2E" w:rsidRDefault="00565D2E" w:rsidP="006A203B">
      <w:r>
        <w:t xml:space="preserve">Při porovnání obou variant je logickým závěrem to, že varianta s dotací vychází finančně lépe. Výdělečné jsou však s dostatečnou rezervou obě posuzované varianty. </w:t>
      </w:r>
    </w:p>
    <w:p w:rsidR="00231271" w:rsidRDefault="00F17C77" w:rsidP="00F17C77">
      <w:pPr>
        <w:pStyle w:val="Nadpis1"/>
      </w:pPr>
      <w:bookmarkStart w:id="163" w:name="_Toc58949406"/>
      <w:r>
        <w:t>ANALÝZA A ŘÍZENÍ RIZIK</w:t>
      </w:r>
      <w:bookmarkEnd w:id="163"/>
    </w:p>
    <w:p w:rsidR="00F17C77" w:rsidRDefault="00B76422" w:rsidP="00B76422">
      <w:pPr>
        <w:pStyle w:val="Nadpis2"/>
      </w:pPr>
      <w:bookmarkStart w:id="164" w:name="_Toc58949407"/>
      <w:r>
        <w:t>Emisní limity</w:t>
      </w:r>
      <w:bookmarkEnd w:id="164"/>
    </w:p>
    <w:p w:rsidR="00B76422" w:rsidRDefault="00B76422" w:rsidP="00B76422">
      <w:r>
        <w:t>Emisní limity, zejména emisní limity NO</w:t>
      </w:r>
      <w:r w:rsidRPr="00B76422">
        <w:rPr>
          <w:vertAlign w:val="subscript"/>
        </w:rPr>
        <w:t>X</w:t>
      </w:r>
      <w:r>
        <w:t xml:space="preserve">, jsou citlivým tématem nejen na území hl. m. Prahy. S těmito limity je nutné se vypořádat již </w:t>
      </w:r>
      <w:r w:rsidR="00CD695B">
        <w:t>při povolování umístění jednotky. Pokud by došlo v průběhu trvání projektu k dalšímu zpřísnění emisních podmínek, které by měly ohrozit provoz kogenerační jednotky, byly by způsoby snížení celkových ročních emisí následující (již zmíněny):</w:t>
      </w:r>
    </w:p>
    <w:p w:rsidR="00CD695B" w:rsidRDefault="00CD695B" w:rsidP="00CD695B">
      <w:pPr>
        <w:pStyle w:val="Odstavecseseznamem"/>
        <w:numPr>
          <w:ilvl w:val="0"/>
          <w:numId w:val="27"/>
        </w:numPr>
      </w:pPr>
      <w:r>
        <w:rPr>
          <w:b/>
        </w:rPr>
        <w:t>úspora</w:t>
      </w:r>
      <w:r w:rsidRPr="00AA08AD">
        <w:rPr>
          <w:b/>
        </w:rPr>
        <w:t xml:space="preserve"> v roční potřebě tepla</w:t>
      </w:r>
      <w:r>
        <w:t xml:space="preserve"> – nižší emise budou dosaženy nižší potřebou produkce tepla (např. zateplení budovy, zpětné získávání tepla)</w:t>
      </w:r>
    </w:p>
    <w:p w:rsidR="00CD695B" w:rsidRDefault="00CD695B" w:rsidP="00CD695B">
      <w:pPr>
        <w:pStyle w:val="Odstavecseseznamem"/>
        <w:numPr>
          <w:ilvl w:val="0"/>
          <w:numId w:val="27"/>
        </w:numPr>
      </w:pPr>
      <w:r>
        <w:rPr>
          <w:b/>
        </w:rPr>
        <w:t>ekologizace stávajících kotlů</w:t>
      </w:r>
      <w:r>
        <w:t xml:space="preserve"> – opatření provedená za účelem snížit emise NO</w:t>
      </w:r>
      <w:r w:rsidRPr="00367853">
        <w:rPr>
          <w:vertAlign w:val="subscript"/>
        </w:rPr>
        <w:t>X</w:t>
      </w:r>
      <w:r>
        <w:t xml:space="preserve"> stávajících zdrojů, které se v novém řešení budou podílet na tepelném hospodářství spolu s KGJ (např. zavedení nové technologie, pořízení nových kotlů za původní)</w:t>
      </w:r>
    </w:p>
    <w:p w:rsidR="00CD695B" w:rsidRDefault="00877712" w:rsidP="00CD695B">
      <w:pPr>
        <w:pStyle w:val="Nadpis2"/>
      </w:pPr>
      <w:bookmarkStart w:id="165" w:name="_Toc58949408"/>
      <w:r>
        <w:t>Nestálost cen energií</w:t>
      </w:r>
      <w:bookmarkEnd w:id="165"/>
    </w:p>
    <w:p w:rsidR="00877712" w:rsidRDefault="00877712" w:rsidP="00877712">
      <w:r>
        <w:t>Ceny energií jsou předmětem smluv uzavřených mezi provozovatelem a distributorem energií. Nárůst ceny elektrické elektřiny se promítne kladně ve výhodnosti investice (kratší návratnost). Nárůst ceny plynu naopak investici znevýhodní (delší návratnost).</w:t>
      </w:r>
    </w:p>
    <w:p w:rsidR="00877712" w:rsidRPr="00877712" w:rsidRDefault="00877712" w:rsidP="00877712">
      <w:pPr>
        <w:pStyle w:val="Nadpis1"/>
      </w:pPr>
      <w:bookmarkStart w:id="166" w:name="_Toc58949409"/>
      <w:r>
        <w:t xml:space="preserve">VLIV PROJEKTU </w:t>
      </w:r>
      <w:r w:rsidR="00585A41">
        <w:t>NA ŽIVOTNÍ PROSTŘEDÍ</w:t>
      </w:r>
      <w:bookmarkEnd w:id="166"/>
    </w:p>
    <w:p w:rsidR="00CD695B" w:rsidRDefault="00CA613E" w:rsidP="00CA613E">
      <w:pPr>
        <w:pStyle w:val="Nadpis2"/>
      </w:pPr>
      <w:bookmarkStart w:id="167" w:name="_Toc58949410"/>
      <w:r>
        <w:t>Emisní limity</w:t>
      </w:r>
      <w:bookmarkEnd w:id="167"/>
    </w:p>
    <w:p w:rsidR="00CA613E" w:rsidRDefault="00CA613E" w:rsidP="00CA613E">
      <w:r>
        <w:t>Celkové roční emise NO</w:t>
      </w:r>
      <w:r w:rsidRPr="00CA613E">
        <w:rPr>
          <w:vertAlign w:val="subscript"/>
        </w:rPr>
        <w:t>X</w:t>
      </w:r>
      <w:r>
        <w:t xml:space="preserve"> v případě instalace kogenerační jednotkou nemůžou být navýšeny, protože musí být dodržen zmíněný „Metodický pokyn k povolování kogeneračních jednotek na území hl. m. Prahy“</w:t>
      </w:r>
      <w:r w:rsidR="00D85B46">
        <w:t xml:space="preserve"> (</w:t>
      </w:r>
      <w:r w:rsidR="00D85B46">
        <w:fldChar w:fldCharType="begin"/>
      </w:r>
      <w:r w:rsidR="00D85B46">
        <w:instrText xml:space="preserve"> REF _Ref56065056 \h </w:instrText>
      </w:r>
      <w:r w:rsidR="00D85B46">
        <w:fldChar w:fldCharType="separate"/>
      </w:r>
      <w:r w:rsidR="00816426" w:rsidRPr="002410EE">
        <w:t xml:space="preserve">Příloha č. </w:t>
      </w:r>
      <w:r w:rsidR="00816426">
        <w:rPr>
          <w:noProof/>
        </w:rPr>
        <w:t>1</w:t>
      </w:r>
      <w:r w:rsidR="00D85B46">
        <w:fldChar w:fldCharType="end"/>
      </w:r>
      <w:r w:rsidR="00D85B46">
        <w:t>)</w:t>
      </w:r>
      <w:r>
        <w:t>.</w:t>
      </w:r>
    </w:p>
    <w:p w:rsidR="00D85B46" w:rsidRPr="00CA613E" w:rsidRDefault="00D85B46" w:rsidP="00CA613E">
      <w:r>
        <w:t>Emise dalších látek jsou stanoveny (HCHO, CO, NH</w:t>
      </w:r>
      <w:r w:rsidRPr="00D85B46">
        <w:rPr>
          <w:vertAlign w:val="subscript"/>
        </w:rPr>
        <w:t>3</w:t>
      </w:r>
      <w:r>
        <w:t>) nebo doporučeny (TOC) zmíněným metodickým pokynem.</w:t>
      </w:r>
    </w:p>
    <w:p w:rsidR="00CA613E" w:rsidRDefault="00D85B46" w:rsidP="00D85B46">
      <w:pPr>
        <w:pStyle w:val="Nadpis2"/>
      </w:pPr>
      <w:bookmarkStart w:id="168" w:name="_Toc58949411"/>
      <w:r>
        <w:t>Nakládání s odpady</w:t>
      </w:r>
      <w:bookmarkEnd w:id="168"/>
    </w:p>
    <w:p w:rsidR="00D85B46" w:rsidRDefault="00D85B46" w:rsidP="00D85B46">
      <w:r>
        <w:t>Pouze odpad při výstavbě.</w:t>
      </w:r>
    </w:p>
    <w:p w:rsidR="00D85B46" w:rsidRDefault="009E3C56" w:rsidP="00D85B46">
      <w:r>
        <w:t>Zhotovitel projektu</w:t>
      </w:r>
      <w:r w:rsidR="00D85B46">
        <w:t xml:space="preserve"> bude plnit povinnosti původců podle § 16 zákona č. 185/2001 Sb., v platném znění:</w:t>
      </w:r>
    </w:p>
    <w:p w:rsidR="00D85B46" w:rsidRDefault="00D85B46" w:rsidP="00D85B46">
      <w:pPr>
        <w:pStyle w:val="Odstavecseseznamem"/>
        <w:numPr>
          <w:ilvl w:val="0"/>
          <w:numId w:val="28"/>
        </w:numPr>
      </w:pPr>
      <w:r>
        <w:t>odpady budou shromažďovány utříděné podle jednotlivých druhů a kategorií, musí být ukládány do vyčleněných obalů na stanovených místech, na shromažďovacích prostředcích s nebezpečným odpadem musí být umístěn identifikační list odpadu</w:t>
      </w:r>
    </w:p>
    <w:p w:rsidR="00D85B46" w:rsidRDefault="00D85B46" w:rsidP="00D85B46">
      <w:pPr>
        <w:pStyle w:val="Odstavecseseznamem"/>
        <w:numPr>
          <w:ilvl w:val="0"/>
          <w:numId w:val="28"/>
        </w:numPr>
      </w:pPr>
      <w:r>
        <w:t xml:space="preserve">odpady budou shromažďovány na zabezpečených zpevněných plochách, chráněny před povětrnostními vlivy </w:t>
      </w:r>
    </w:p>
    <w:p w:rsidR="00D85B46" w:rsidRDefault="00D85B46" w:rsidP="00D85B46">
      <w:pPr>
        <w:pStyle w:val="Odstavecseseznamem"/>
        <w:numPr>
          <w:ilvl w:val="0"/>
          <w:numId w:val="28"/>
        </w:numPr>
      </w:pPr>
      <w:r>
        <w:t xml:space="preserve">přednostně bude zajišťováno využití odpadů </w:t>
      </w:r>
    </w:p>
    <w:p w:rsidR="00D85B46" w:rsidRDefault="00D85B46" w:rsidP="00D85B46">
      <w:pPr>
        <w:pStyle w:val="Odstavecseseznamem"/>
        <w:numPr>
          <w:ilvl w:val="0"/>
          <w:numId w:val="28"/>
        </w:numPr>
      </w:pPr>
      <w:r>
        <w:t xml:space="preserve">odpady budou předávány pouze osobě oprávněné k jejich převzetí </w:t>
      </w:r>
    </w:p>
    <w:p w:rsidR="00D85B46" w:rsidRPr="00D85B46" w:rsidRDefault="00D85B46" w:rsidP="00D85B46">
      <w:pPr>
        <w:pStyle w:val="Odstavecseseznamem"/>
        <w:numPr>
          <w:ilvl w:val="0"/>
          <w:numId w:val="28"/>
        </w:numPr>
      </w:pPr>
      <w:r>
        <w:t>povinnost zpracovat a nechat schválit Plán odpadového hospodářství původce odpadů se nepředpokládá</w:t>
      </w:r>
    </w:p>
    <w:p w:rsidR="001A7140" w:rsidRDefault="009E3C56" w:rsidP="009E3C56">
      <w:pPr>
        <w:pStyle w:val="Nadpis1"/>
      </w:pPr>
      <w:bookmarkStart w:id="169" w:name="_Toc58949412"/>
      <w:r>
        <w:t>ZÁVĚREČNÉ SHRNUTÍ A ZHODNOCENÍ NA ZÁKLADĚ VÝSLEDKŮ STUDIE</w:t>
      </w:r>
      <w:bookmarkEnd w:id="169"/>
    </w:p>
    <w:p w:rsidR="008A437A" w:rsidRDefault="008A437A" w:rsidP="008A437A">
      <w:r>
        <w:t>V úvodu dokumentace studie proveditelnosti „Optimalizace vytápění a možnosti dochlazení budovy ústředí ČNB“ byly investorem navrženy k posouzení dvě varianty řešení.</w:t>
      </w:r>
    </w:p>
    <w:p w:rsidR="004752E0" w:rsidRDefault="008A437A" w:rsidP="008A437A">
      <w:r>
        <w:t>První variantou byla „</w:t>
      </w:r>
      <w:r w:rsidR="004752E0">
        <w:t>trigenerační jednotka</w:t>
      </w:r>
      <w:r>
        <w:t>“</w:t>
      </w:r>
      <w:r w:rsidR="004752E0">
        <w:t>.</w:t>
      </w:r>
    </w:p>
    <w:p w:rsidR="008A437A" w:rsidRDefault="008A437A" w:rsidP="008A437A">
      <w:r>
        <w:t>Tato varianta byla však prohlášena za nerealizovatelnou ze třech důvodů. Prvním z nich bylo nesplnění emisních limitů stanovených dle „Metodického pokynu k povolování kogeneračních jednotek na území hl. m. Prahy“. Dalšími dvěma zásadními problémy byla nemožnost nastěhování absorpční jednotky o chladicím výkonu 400 kW a dále nemožnost umístění rozměrné chladicí věže na střechu budovy. Tato varianta tak nebyla dále posuzována.</w:t>
      </w:r>
    </w:p>
    <w:p w:rsidR="000676F9" w:rsidRDefault="004752E0" w:rsidP="008A437A">
      <w:r>
        <w:t>Posuzovanou variantou tak zůstala pouze druhá varianta „KGJ + bloková chladicí jednotka“.</w:t>
      </w:r>
    </w:p>
    <w:p w:rsidR="00987747" w:rsidRDefault="00987747" w:rsidP="008A437A">
      <w:r>
        <w:t>Obvykle bývá provoz kogenerační jednotky navrhován k ořezání maximálních okamžitých potřeb elektrické energie. V tomto případě to nebylo možné, jelikož těchto maxim je dosahováno v letních měsících, kdy v budově není dostatečný odběr tepla pro její trvalý provoz (např. po celou pracovní směnu). Teplo by bylo nutné mařit. Systematické maření tepla by pak vedlo k překročení emisního stropu (celkové roční emise NO</w:t>
      </w:r>
      <w:r w:rsidRPr="00987747">
        <w:rPr>
          <w:vertAlign w:val="subscript"/>
        </w:rPr>
        <w:t>X</w:t>
      </w:r>
      <w:r>
        <w:t>) a to odporuje výše uvedenému metodickému pokynu.</w:t>
      </w:r>
    </w:p>
    <w:p w:rsidR="00987747" w:rsidRDefault="00987747" w:rsidP="008A437A">
      <w:r>
        <w:t xml:space="preserve">Provoz kogenerační jednotky je tedy navržen tak, aby </w:t>
      </w:r>
      <w:r w:rsidR="00792D99">
        <w:t xml:space="preserve">tepelně </w:t>
      </w:r>
      <w:r>
        <w:t>kryl výlučně potřeby na vytápění a ohřev teplé vody. Zde je však nutné, aby emisní produkce NO</w:t>
      </w:r>
      <w:r w:rsidRPr="00987747">
        <w:rPr>
          <w:vertAlign w:val="subscript"/>
        </w:rPr>
        <w:t>X</w:t>
      </w:r>
      <w:r>
        <w:t xml:space="preserve"> byla na jednotku tepelné energie byla nižší než u kotlů, jejichž výkon je nahrazován. Tomu, vyjma jednotek využívající SCR technologie (horší ekonomika provozu), odpovídala pouze kogenerační jednotk</w:t>
      </w:r>
      <w:r w:rsidR="00304EE4">
        <w:t>a</w:t>
      </w:r>
      <w:r>
        <w:t xml:space="preserve"> o</w:t>
      </w:r>
      <w:r w:rsidR="00304EE4">
        <w:t> </w:t>
      </w:r>
      <w:r>
        <w:t>elektrickém výkonu 263 kW, tepelném výkonu 390 kW a příkonu v palivu 693 kW</w:t>
      </w:r>
      <w:r w:rsidR="0003115D">
        <w:t>.</w:t>
      </w:r>
    </w:p>
    <w:p w:rsidR="0003115D" w:rsidRDefault="0003115D" w:rsidP="008A437A">
      <w:r>
        <w:t>Její elektrický výkon bude bezpečně upotřeben v rámci budovy, protože okamžitá spotřeba elektrické energie objektu prakticky neklesá pod 290 kW. Tepelný výkon KGJ při porovnání s bilancemi tepla odpovídal provozu 3</w:t>
      </w:r>
      <w:r w:rsidR="003C35C0">
        <w:t> </w:t>
      </w:r>
      <w:r>
        <w:t>000 h ročně, což je jedna z dotovaných sazeb pro podporované zdroje energie.</w:t>
      </w:r>
    </w:p>
    <w:p w:rsidR="0003115D" w:rsidRDefault="0003115D" w:rsidP="008A437A">
      <w:r>
        <w:t>Rozměry kogenerační jednotky přesahují rozměry montážního otvoru v garáži 1S, proto byla posouzena doprava jednotky po menších částech a její následná montáž přímo na místě. Výrobce toto umožňuje, nese to však s sebou vyšší pořizovací náklady.</w:t>
      </w:r>
    </w:p>
    <w:p w:rsidR="0003115D" w:rsidRDefault="0003115D" w:rsidP="008A437A">
      <w:r>
        <w:t>Kogenerační jednotka bude umístěna na pozici kotlů K2 a K3 v kotelně „3S302B“, přičemž kotel K2 bude demontován a kotel K3 může být umístěn na pozici odzbrojeného kotle K6</w:t>
      </w:r>
      <w:r w:rsidR="003C35C0">
        <w:t xml:space="preserve"> v kotelně „3S501“</w:t>
      </w:r>
      <w:r>
        <w:t xml:space="preserve">. </w:t>
      </w:r>
    </w:p>
    <w:p w:rsidR="003C35C0" w:rsidRDefault="003C35C0" w:rsidP="008A437A">
      <w:r>
        <w:t>Pro možnost akumulace vyrobeného tepla budou připraveny dva momentálně nevyužité zásobníky TV (každý o objemu 10 m</w:t>
      </w:r>
      <w:r w:rsidRPr="003C35C0">
        <w:rPr>
          <w:vertAlign w:val="superscript"/>
        </w:rPr>
        <w:t>3</w:t>
      </w:r>
      <w:r>
        <w:t>). S instalací kogenerační jednotky se zvýší požadavek na množství přiváděného a odváděného vzduchu. K tomu bude využito vzduchotechnické zařízení č. 6. Nutné bude také vytvoření nové spalinové cesty odolávající vyšším přetlakům.</w:t>
      </w:r>
    </w:p>
    <w:p w:rsidR="0003115D" w:rsidRDefault="0003115D" w:rsidP="008A437A">
      <w:r>
        <w:t>Podmínkou metodického pokynu</w:t>
      </w:r>
      <w:r w:rsidR="003C35C0">
        <w:t xml:space="preserve"> </w:t>
      </w:r>
      <w:r>
        <w:t>je</w:t>
      </w:r>
      <w:r w:rsidR="00304EE4">
        <w:t xml:space="preserve"> ještě</w:t>
      </w:r>
      <w:r>
        <w:t xml:space="preserve"> instalace průběžného monitoringu (měření spalin KGJ, spotřeby plynu, vyrobeného tepla apod.). </w:t>
      </w:r>
    </w:p>
    <w:p w:rsidR="003C35C0" w:rsidRDefault="003C35C0" w:rsidP="008A437A">
      <w:r>
        <w:t>Pro provoz kogenerační jednotky se předpokládá využití POZE (podpora obnovitelných zdrojů energie), konkrétně KVET (kombinovaná výroba elektřiny a tepla), kdy jsou při provozu do 3 000 h ročně, resp. 4 400 h ročně vypisovány „zelené bonusy“ za 1 MWh vyrobené elektrické energie.</w:t>
      </w:r>
    </w:p>
    <w:p w:rsidR="003C35C0" w:rsidRDefault="003C35C0" w:rsidP="008A437A">
      <w:r>
        <w:t xml:space="preserve">Dalším využitelným dotačním titulem je Operační program Životní prostředí, konkrétně </w:t>
      </w:r>
      <w:r w:rsidR="00F84B95">
        <w:t>Prioritní osa 5: Energetické úspory</w:t>
      </w:r>
      <w:r w:rsidR="00304EE4">
        <w:t>. Zde je možné využít dotaci na zařízení pro kombinovanou výrobu elektřiny a tepla (KGJ) ve výši 40 % způsobilých nákladů.</w:t>
      </w:r>
    </w:p>
    <w:p w:rsidR="00304EE4" w:rsidRDefault="00304EE4" w:rsidP="008A437A">
      <w:r>
        <w:t>V rámci této varianty byla posuzována také možnost pořízení blokové chladicí jednotky o chladicím výkonu 400 kW. Po konzultaci se společností praktikující dopravu energetických zařízení v Praze navržena možnost nastěhování jednotky na střechu jeřábem. V rámci částí chlazení byla ještě navržena strojovna chladu, umístěná v 6P, a bylo provedeno rozdělení chlazených prostor.</w:t>
      </w:r>
    </w:p>
    <w:p w:rsidR="00CC0EE2" w:rsidRDefault="00CC0EE2" w:rsidP="00CC0EE2">
      <w:r>
        <w:t xml:space="preserve">Celková investovaná částka, zahrnující pořízení kogenerační jednotky, kompresorového chladicího zařízení a distribuční soustavy chladu, vč. vedlejších rozpočtových nákladů (2 % z investice), rozpočtové rezervy (3 % z investice), znovupořízení kompresorové chladicí jednotky a generální opravy KGJ (1,47 mil. Kč bez DPH) činí přibližně </w:t>
      </w:r>
      <w:r w:rsidR="006330B2">
        <w:rPr>
          <w:b/>
        </w:rPr>
        <w:t>82,8</w:t>
      </w:r>
      <w:r w:rsidRPr="0011209F">
        <w:rPr>
          <w:b/>
        </w:rPr>
        <w:t> mil. Kč bez DPH</w:t>
      </w:r>
      <w:r>
        <w:t xml:space="preserve">. Částka investovaná na začátku projektu (při uskutečnění projektu v celém rozsahu) činí </w:t>
      </w:r>
      <w:r w:rsidR="006330B2">
        <w:rPr>
          <w:b/>
        </w:rPr>
        <w:t>73,7</w:t>
      </w:r>
      <w:r w:rsidRPr="0011209F">
        <w:rPr>
          <w:b/>
        </w:rPr>
        <w:t> mil. Kč bez DPH</w:t>
      </w:r>
      <w:r>
        <w:t>.</w:t>
      </w:r>
    </w:p>
    <w:p w:rsidR="00304EE4" w:rsidRPr="00987747" w:rsidRDefault="00304EE4" w:rsidP="008A437A">
      <w:r>
        <w:t>V závěru byla zkoumána finanční stránka provozu kogenerační jednotky. Délka hodnocení projektu byla stanovena na základě životnosti jednotky při jejím ročním hodinovém provozu (životnost 26 let, při provozu 3</w:t>
      </w:r>
      <w:r w:rsidR="00970567">
        <w:t> </w:t>
      </w:r>
      <w:r>
        <w:t xml:space="preserve">000 h ročně). Byla vyčíslena </w:t>
      </w:r>
      <w:r w:rsidR="004F656A">
        <w:t xml:space="preserve">finanční návratnost při nevyužití dotace (Operační program Životní prostředí), ale i při jejím dosažení. V prvním případě vyšla dynamická finanční návratnost </w:t>
      </w:r>
      <w:r w:rsidR="00970567">
        <w:t>13</w:t>
      </w:r>
      <w:r w:rsidR="004F656A">
        <w:t xml:space="preserve"> let, v druhém pouze </w:t>
      </w:r>
      <w:r w:rsidR="00970567">
        <w:t>7</w:t>
      </w:r>
      <w:r w:rsidR="004F656A">
        <w:t xml:space="preserve"> let. Vnitřní výnosové procento IRR </w:t>
      </w:r>
      <w:r w:rsidR="00970567">
        <w:t>10,</w:t>
      </w:r>
      <w:r w:rsidR="00B31A72">
        <w:t>7</w:t>
      </w:r>
      <w:r w:rsidR="004F656A">
        <w:t xml:space="preserve"> %, resp. </w:t>
      </w:r>
      <w:r w:rsidR="00970567">
        <w:t>20,2</w:t>
      </w:r>
      <w:r w:rsidR="004F656A">
        <w:t> %. Obě varianty byly vyhodnoceny jako finančně výhodné.</w:t>
      </w:r>
    </w:p>
    <w:p w:rsidR="00CC0EE2" w:rsidRDefault="00CC0EE2">
      <w:pPr>
        <w:spacing w:before="0" w:after="200"/>
        <w:jc w:val="left"/>
        <w:rPr>
          <w:rFonts w:eastAsiaTheme="majorEastAsia" w:cstheme="majorBidi"/>
          <w:b/>
          <w:sz w:val="36"/>
          <w:szCs w:val="32"/>
        </w:rPr>
      </w:pPr>
      <w:bookmarkStart w:id="170" w:name="_Toc58949413"/>
      <w:r>
        <w:br w:type="page"/>
      </w:r>
    </w:p>
    <w:p w:rsidR="00491D73" w:rsidRDefault="00491D73" w:rsidP="00491D73">
      <w:pPr>
        <w:pStyle w:val="Nadpis1"/>
      </w:pPr>
      <w:r>
        <w:t>UPOZORNĚNÍ A DOPORUČENÍ</w:t>
      </w:r>
      <w:bookmarkEnd w:id="170"/>
    </w:p>
    <w:p w:rsidR="004F656A" w:rsidRDefault="004F656A" w:rsidP="004F656A">
      <w:r>
        <w:t xml:space="preserve">Produkce emisí bude díky průběžnému monitoringu, který je podmínkou metodického pokynu při instalaci kogenerační jednotky na území hl. m. Prahy, trvale sledována. Pro co </w:t>
      </w:r>
      <w:r w:rsidR="00326F0C">
        <w:t>nejméně problematický</w:t>
      </w:r>
      <w:r>
        <w:t xml:space="preserve"> emisní provoz </w:t>
      </w:r>
      <w:r w:rsidR="00326F0C">
        <w:t>jsou doporučena následující opatření:</w:t>
      </w:r>
    </w:p>
    <w:p w:rsidR="00326F0C" w:rsidRDefault="00326F0C" w:rsidP="00326F0C">
      <w:pPr>
        <w:pStyle w:val="Odstavecseseznamem"/>
        <w:numPr>
          <w:ilvl w:val="6"/>
          <w:numId w:val="6"/>
        </w:numPr>
      </w:pPr>
      <w:r>
        <w:t>Pokud jsou plánována nějaká úsporná opatření (např. zateplení, zpětné získávání tepla) je doporučeno tyto opatření provést současně s instalací kogenerační jednotky. Zvýší se tím emisní rezerva.</w:t>
      </w:r>
    </w:p>
    <w:p w:rsidR="00326F0C" w:rsidRDefault="00326F0C" w:rsidP="00326F0C">
      <w:pPr>
        <w:pStyle w:val="Odstavecseseznamem"/>
        <w:numPr>
          <w:ilvl w:val="6"/>
          <w:numId w:val="6"/>
        </w:numPr>
      </w:pPr>
      <w:r>
        <w:t>Pro nižší roční produkci emisí NO</w:t>
      </w:r>
      <w:r w:rsidRPr="00326F0C">
        <w:rPr>
          <w:vertAlign w:val="subscript"/>
        </w:rPr>
        <w:t>X</w:t>
      </w:r>
      <w:r>
        <w:t xml:space="preserve"> je vhodné upřednostňovat provoz kotle K1 před ostatními kotli (K2–K5, po instalaci KGJ K3–K5). Kotel K1 vykazuje nižší měrné emise.</w:t>
      </w:r>
    </w:p>
    <w:p w:rsidR="00326F0C" w:rsidRDefault="00326F0C" w:rsidP="00326F0C">
      <w:pPr>
        <w:pStyle w:val="Odstavecseseznamem"/>
        <w:numPr>
          <w:ilvl w:val="6"/>
          <w:numId w:val="6"/>
        </w:numPr>
      </w:pPr>
      <w:r>
        <w:t xml:space="preserve">V létě je nevhodné spouštět a vypínat KGJ po krátkých časových úsecích (z důvodů nájezdů). </w:t>
      </w:r>
      <w:r w:rsidR="00DC3583">
        <w:t>Při požadavku na vyšší hodinový provoz</w:t>
      </w:r>
      <w:r>
        <w:t xml:space="preserve"> </w:t>
      </w:r>
      <w:r w:rsidR="00DC3583">
        <w:t>se nabízí možnost</w:t>
      </w:r>
      <w:r>
        <w:t xml:space="preserve"> </w:t>
      </w:r>
      <w:r w:rsidR="00DC3583">
        <w:t>provozovat KGJ v létě delší časový interval (např. 3–4 h) na snížený výkon (min. 50 % max. výkonu)</w:t>
      </w:r>
      <w:r>
        <w:t xml:space="preserve">. Vyrobí se méně elektrické energie, na </w:t>
      </w:r>
      <w:r w:rsidR="00DC3583">
        <w:t xml:space="preserve">druhou stranu bude </w:t>
      </w:r>
      <w:r>
        <w:t>delší časový prostor k ořezání maximálních odběrů elektrické energie.</w:t>
      </w:r>
    </w:p>
    <w:p w:rsidR="00326F0C" w:rsidRPr="004F656A" w:rsidRDefault="00792D99" w:rsidP="00326F0C">
      <w:r>
        <w:t>Podpora KVET je v současné době schválena pro kogenerační jednotky uvedené do provozu do 31. 12. 2021, očekává se však její prodloužení.</w:t>
      </w:r>
    </w:p>
    <w:p w:rsidR="005D2E0C" w:rsidRDefault="005D2E0C" w:rsidP="005D2E0C">
      <w:pPr>
        <w:pStyle w:val="Nadpis2"/>
      </w:pPr>
      <w:bookmarkStart w:id="171" w:name="_Ref58946772"/>
      <w:bookmarkStart w:id="172" w:name="_Toc58949414"/>
      <w:r>
        <w:t>Doporučené kontakty</w:t>
      </w:r>
      <w:bookmarkEnd w:id="171"/>
      <w:bookmarkEnd w:id="172"/>
    </w:p>
    <w:tbl>
      <w:tblPr>
        <w:tblStyle w:val="Mkatabulky"/>
        <w:tblW w:w="0" w:type="auto"/>
        <w:tblBorders>
          <w:left w:val="none" w:sz="0" w:space="0" w:color="auto"/>
          <w:right w:val="none" w:sz="0" w:space="0" w:color="auto"/>
        </w:tblBorders>
        <w:tblLook w:val="04A0" w:firstRow="1" w:lastRow="0" w:firstColumn="1" w:lastColumn="0" w:noHBand="0" w:noVBand="1"/>
      </w:tblPr>
      <w:tblGrid>
        <w:gridCol w:w="9212"/>
      </w:tblGrid>
      <w:tr w:rsidR="005D2E0C" w:rsidTr="00F259F5">
        <w:trPr>
          <w:trHeight w:val="1757"/>
        </w:trPr>
        <w:tc>
          <w:tcPr>
            <w:tcW w:w="9212" w:type="dxa"/>
            <w:vAlign w:val="center"/>
          </w:tcPr>
          <w:p w:rsidR="00E721CC" w:rsidRPr="00F259F5" w:rsidRDefault="00E721CC" w:rsidP="00F259F5">
            <w:pPr>
              <w:spacing w:beforeLines="60" w:before="144" w:afterLines="60" w:after="144"/>
              <w:contextualSpacing/>
              <w:jc w:val="left"/>
              <w:rPr>
                <w:b/>
              </w:rPr>
            </w:pPr>
            <w:r w:rsidRPr="00F259F5">
              <w:rPr>
                <w:b/>
              </w:rPr>
              <w:t xml:space="preserve">Jméno a příjmení: </w:t>
            </w:r>
            <w:r w:rsidR="00F32B5F" w:rsidRPr="00F259F5">
              <w:rPr>
                <w:b/>
              </w:rPr>
              <w:t>Andrea Šipanová</w:t>
            </w:r>
          </w:p>
          <w:p w:rsidR="00F259F5" w:rsidRDefault="00F259F5" w:rsidP="00F259F5">
            <w:pPr>
              <w:spacing w:beforeLines="60" w:before="144" w:afterLines="60" w:after="144"/>
              <w:contextualSpacing/>
              <w:jc w:val="left"/>
            </w:pPr>
            <w:r>
              <w:t>Pozice: vedoucí oddělení ochrany ovzduší</w:t>
            </w:r>
          </w:p>
          <w:p w:rsidR="00E721CC" w:rsidRDefault="00E721CC" w:rsidP="00F259F5">
            <w:pPr>
              <w:spacing w:beforeLines="60" w:before="144" w:afterLines="60" w:after="144"/>
              <w:contextualSpacing/>
              <w:jc w:val="left"/>
            </w:pPr>
            <w:r>
              <w:t>Společnost</w:t>
            </w:r>
            <w:r w:rsidR="00F32B5F">
              <w:t>/instituce</w:t>
            </w:r>
            <w:r>
              <w:t xml:space="preserve">: </w:t>
            </w:r>
            <w:r w:rsidR="00F32B5F">
              <w:t>Magistrát hl. města Prahy, Odbor ochrany prostředí, Oddělení ochrany ovzduší</w:t>
            </w:r>
          </w:p>
          <w:p w:rsidR="00E721CC" w:rsidRDefault="00E721CC" w:rsidP="00F259F5">
            <w:pPr>
              <w:spacing w:beforeLines="60" w:before="144" w:afterLines="60" w:after="144"/>
              <w:contextualSpacing/>
              <w:jc w:val="left"/>
            </w:pPr>
            <w:r>
              <w:t>Telefon: +420</w:t>
            </w:r>
            <w:r w:rsidR="00F32B5F">
              <w:t> 236 004 363</w:t>
            </w:r>
          </w:p>
          <w:p w:rsidR="005D2E0C" w:rsidRPr="00F32B5F" w:rsidRDefault="00E721CC" w:rsidP="00F259F5">
            <w:pPr>
              <w:spacing w:beforeLines="60" w:before="144" w:afterLines="60" w:after="144"/>
              <w:contextualSpacing/>
              <w:jc w:val="left"/>
              <w:rPr>
                <w:lang w:val="en-US"/>
              </w:rPr>
            </w:pPr>
            <w:r>
              <w:t xml:space="preserve">E-mail: </w:t>
            </w:r>
            <w:r w:rsidR="00F32B5F">
              <w:t>andrea.sipanova</w:t>
            </w:r>
            <w:r w:rsidR="00F259F5">
              <w:t>@praha.eu</w:t>
            </w:r>
          </w:p>
        </w:tc>
      </w:tr>
      <w:tr w:rsidR="005D2E0C" w:rsidTr="00F259F5">
        <w:trPr>
          <w:trHeight w:val="1757"/>
        </w:trPr>
        <w:tc>
          <w:tcPr>
            <w:tcW w:w="9212" w:type="dxa"/>
            <w:vAlign w:val="center"/>
          </w:tcPr>
          <w:p w:rsidR="00F259F5" w:rsidRPr="00F259F5" w:rsidRDefault="00F259F5" w:rsidP="00F259F5">
            <w:pPr>
              <w:spacing w:beforeLines="60" w:before="144" w:afterLines="60" w:after="144"/>
              <w:contextualSpacing/>
              <w:jc w:val="left"/>
              <w:rPr>
                <w:b/>
              </w:rPr>
            </w:pPr>
            <w:r w:rsidRPr="00F259F5">
              <w:rPr>
                <w:b/>
              </w:rPr>
              <w:t>Jméno a příjmení: Petra Neuwirthová</w:t>
            </w:r>
          </w:p>
          <w:p w:rsidR="00F259F5" w:rsidRDefault="00F259F5" w:rsidP="00F259F5">
            <w:pPr>
              <w:spacing w:beforeLines="60" w:before="144" w:afterLines="60" w:after="144"/>
              <w:contextualSpacing/>
              <w:jc w:val="left"/>
            </w:pPr>
            <w:r>
              <w:t>Společnost/instituce: CEFA s.r.o.</w:t>
            </w:r>
          </w:p>
          <w:p w:rsidR="00F259F5" w:rsidRDefault="00F259F5" w:rsidP="00F259F5">
            <w:pPr>
              <w:spacing w:beforeLines="60" w:before="144" w:afterLines="60" w:after="144"/>
              <w:contextualSpacing/>
              <w:jc w:val="left"/>
            </w:pPr>
            <w:r>
              <w:t>Telefon: +420 777 556 646</w:t>
            </w:r>
          </w:p>
          <w:p w:rsidR="005D2E0C" w:rsidRDefault="00F259F5" w:rsidP="00F259F5">
            <w:pPr>
              <w:spacing w:beforeLines="60" w:before="144" w:afterLines="60" w:after="144"/>
              <w:contextualSpacing/>
              <w:jc w:val="left"/>
            </w:pPr>
            <w:r>
              <w:t xml:space="preserve">E-mail: </w:t>
            </w:r>
            <w:r w:rsidRPr="00F259F5">
              <w:t>petra.neuwirthova@cefa.cz</w:t>
            </w:r>
          </w:p>
        </w:tc>
      </w:tr>
      <w:tr w:rsidR="00F259F5" w:rsidTr="00F259F5">
        <w:trPr>
          <w:trHeight w:val="1757"/>
        </w:trPr>
        <w:tc>
          <w:tcPr>
            <w:tcW w:w="9212" w:type="dxa"/>
            <w:vAlign w:val="center"/>
          </w:tcPr>
          <w:p w:rsidR="00F259F5" w:rsidRPr="00F259F5" w:rsidRDefault="00F259F5" w:rsidP="00F259F5">
            <w:pPr>
              <w:spacing w:beforeLines="60" w:before="144" w:afterLines="60" w:after="144"/>
              <w:contextualSpacing/>
              <w:jc w:val="left"/>
              <w:rPr>
                <w:b/>
              </w:rPr>
            </w:pPr>
            <w:r w:rsidRPr="00F259F5">
              <w:rPr>
                <w:b/>
              </w:rPr>
              <w:t>Jméno a příjmení: Jiří Šváb (transport chilleru)</w:t>
            </w:r>
          </w:p>
          <w:p w:rsidR="00F259F5" w:rsidRDefault="00F259F5" w:rsidP="00F259F5">
            <w:pPr>
              <w:spacing w:beforeLines="60" w:before="144" w:afterLines="60" w:after="144"/>
              <w:contextualSpacing/>
              <w:jc w:val="left"/>
            </w:pPr>
            <w:r>
              <w:t xml:space="preserve">Společnost/instituce: </w:t>
            </w:r>
            <w:r w:rsidRPr="00F259F5">
              <w:t>ENERGOSERVIS ŠVAMONT,</w:t>
            </w:r>
            <w:r>
              <w:t xml:space="preserve"> </w:t>
            </w:r>
            <w:r w:rsidRPr="00F259F5">
              <w:t>spol.</w:t>
            </w:r>
            <w:r>
              <w:t xml:space="preserve"> </w:t>
            </w:r>
            <w:r w:rsidRPr="00F259F5">
              <w:t>s.</w:t>
            </w:r>
            <w:r>
              <w:t xml:space="preserve"> </w:t>
            </w:r>
            <w:r w:rsidRPr="00F259F5">
              <w:t>r.</w:t>
            </w:r>
            <w:r>
              <w:t xml:space="preserve"> </w:t>
            </w:r>
            <w:r w:rsidRPr="00F259F5">
              <w:t>o</w:t>
            </w:r>
          </w:p>
          <w:p w:rsidR="00F259F5" w:rsidRDefault="00F259F5" w:rsidP="00F259F5">
            <w:pPr>
              <w:spacing w:beforeLines="60" w:before="144" w:afterLines="60" w:after="144"/>
              <w:contextualSpacing/>
              <w:jc w:val="left"/>
            </w:pPr>
            <w:r>
              <w:t>Telefon: +420 </w:t>
            </w:r>
            <w:r w:rsidRPr="00F259F5">
              <w:t>602</w:t>
            </w:r>
            <w:r>
              <w:t> </w:t>
            </w:r>
            <w:r w:rsidRPr="00F259F5">
              <w:t>206</w:t>
            </w:r>
            <w:r>
              <w:t> </w:t>
            </w:r>
            <w:r w:rsidRPr="00F259F5">
              <w:t>044</w:t>
            </w:r>
          </w:p>
          <w:p w:rsidR="00F259F5" w:rsidRDefault="00F259F5" w:rsidP="00F259F5">
            <w:pPr>
              <w:spacing w:beforeLines="60" w:before="144" w:afterLines="60" w:after="144"/>
              <w:contextualSpacing/>
              <w:jc w:val="left"/>
            </w:pPr>
            <w:r>
              <w:t xml:space="preserve">E-mail: </w:t>
            </w:r>
            <w:r w:rsidRPr="00F259F5">
              <w:t>jiri.svab@seznam.cz</w:t>
            </w:r>
          </w:p>
        </w:tc>
      </w:tr>
      <w:tr w:rsidR="005D2E0C" w:rsidTr="00F259F5">
        <w:trPr>
          <w:trHeight w:val="1757"/>
        </w:trPr>
        <w:tc>
          <w:tcPr>
            <w:tcW w:w="9212" w:type="dxa"/>
            <w:vAlign w:val="center"/>
          </w:tcPr>
          <w:p w:rsidR="00F259F5" w:rsidRPr="00F259F5" w:rsidRDefault="00F259F5" w:rsidP="00F259F5">
            <w:pPr>
              <w:spacing w:beforeLines="60" w:before="144" w:afterLines="60" w:after="144"/>
              <w:contextualSpacing/>
              <w:jc w:val="left"/>
              <w:rPr>
                <w:b/>
              </w:rPr>
            </w:pPr>
            <w:r w:rsidRPr="00F259F5">
              <w:rPr>
                <w:b/>
              </w:rPr>
              <w:t>Jméno a příjmení: Radek Beránek</w:t>
            </w:r>
          </w:p>
          <w:p w:rsidR="00F259F5" w:rsidRDefault="00F259F5" w:rsidP="00F259F5">
            <w:pPr>
              <w:spacing w:beforeLines="60" w:before="144" w:afterLines="60" w:after="144"/>
              <w:contextualSpacing/>
              <w:jc w:val="left"/>
            </w:pPr>
            <w:r>
              <w:t>Pozice: projektový manažer</w:t>
            </w:r>
          </w:p>
          <w:p w:rsidR="00F259F5" w:rsidRDefault="00F259F5" w:rsidP="00F259F5">
            <w:pPr>
              <w:spacing w:beforeLines="60" w:before="144" w:afterLines="60" w:after="144"/>
              <w:contextualSpacing/>
              <w:jc w:val="left"/>
            </w:pPr>
            <w:r>
              <w:t>Společnost/instituce: Viessmann, spol. s r.o.</w:t>
            </w:r>
          </w:p>
          <w:p w:rsidR="00F259F5" w:rsidRDefault="00F259F5" w:rsidP="00F259F5">
            <w:pPr>
              <w:spacing w:beforeLines="60" w:before="144" w:afterLines="60" w:after="144"/>
              <w:contextualSpacing/>
              <w:jc w:val="left"/>
            </w:pPr>
            <w:r>
              <w:t>Telefon: +420 601 301 209</w:t>
            </w:r>
          </w:p>
          <w:p w:rsidR="005D2E0C" w:rsidRDefault="00F259F5" w:rsidP="00F259F5">
            <w:pPr>
              <w:spacing w:beforeLines="60" w:before="144" w:afterLines="60" w:after="144"/>
              <w:contextualSpacing/>
              <w:jc w:val="left"/>
            </w:pPr>
            <w:r>
              <w:t>E-mail: brnr@viessman.com</w:t>
            </w:r>
          </w:p>
        </w:tc>
      </w:tr>
      <w:tr w:rsidR="005D2E0C" w:rsidTr="00F259F5">
        <w:trPr>
          <w:trHeight w:val="1757"/>
        </w:trPr>
        <w:tc>
          <w:tcPr>
            <w:tcW w:w="9212" w:type="dxa"/>
            <w:vAlign w:val="center"/>
          </w:tcPr>
          <w:p w:rsidR="00F259F5" w:rsidRPr="00F259F5" w:rsidRDefault="00F259F5" w:rsidP="00F259F5">
            <w:pPr>
              <w:spacing w:beforeLines="60" w:before="144" w:afterLines="60" w:after="144"/>
              <w:contextualSpacing/>
              <w:jc w:val="left"/>
              <w:rPr>
                <w:b/>
              </w:rPr>
            </w:pPr>
            <w:r w:rsidRPr="00F259F5">
              <w:rPr>
                <w:b/>
              </w:rPr>
              <w:t>Jméno a příjmení: Kateřina Ksandrová</w:t>
            </w:r>
          </w:p>
          <w:p w:rsidR="00F259F5" w:rsidRDefault="00F259F5" w:rsidP="00F259F5">
            <w:pPr>
              <w:spacing w:beforeLines="60" w:before="144" w:afterLines="60" w:after="144"/>
              <w:contextualSpacing/>
              <w:jc w:val="left"/>
            </w:pPr>
            <w:r>
              <w:t>Pozice: podpora pro projektové zakázky</w:t>
            </w:r>
          </w:p>
          <w:p w:rsidR="00F259F5" w:rsidRDefault="00F259F5" w:rsidP="00F259F5">
            <w:pPr>
              <w:spacing w:beforeLines="60" w:before="144" w:afterLines="60" w:after="144"/>
              <w:contextualSpacing/>
              <w:jc w:val="left"/>
            </w:pPr>
            <w:r>
              <w:t>Společnost/instituce: Bosch Termomechanika s.r.o. 2020</w:t>
            </w:r>
          </w:p>
          <w:p w:rsidR="00F259F5" w:rsidRDefault="00F259F5" w:rsidP="00F259F5">
            <w:pPr>
              <w:spacing w:beforeLines="60" w:before="144" w:afterLines="60" w:after="144"/>
              <w:contextualSpacing/>
              <w:jc w:val="left"/>
            </w:pPr>
            <w:r>
              <w:t>Telefon: +420 </w:t>
            </w:r>
            <w:r w:rsidRPr="00F259F5">
              <w:t>261 300 123</w:t>
            </w:r>
          </w:p>
          <w:p w:rsidR="005D2E0C" w:rsidRDefault="00F259F5" w:rsidP="00F259F5">
            <w:pPr>
              <w:spacing w:beforeLines="60" w:before="144" w:afterLines="60" w:after="144"/>
              <w:contextualSpacing/>
              <w:jc w:val="left"/>
            </w:pPr>
            <w:r>
              <w:t xml:space="preserve">E-mail: </w:t>
            </w:r>
            <w:r w:rsidRPr="00F259F5">
              <w:t>ksandrova@buderus.cz</w:t>
            </w:r>
          </w:p>
        </w:tc>
      </w:tr>
      <w:tr w:rsidR="00F259F5" w:rsidTr="00F259F5">
        <w:trPr>
          <w:trHeight w:val="1757"/>
        </w:trPr>
        <w:tc>
          <w:tcPr>
            <w:tcW w:w="9212" w:type="dxa"/>
            <w:vAlign w:val="center"/>
          </w:tcPr>
          <w:p w:rsidR="00F259F5" w:rsidRPr="00F259F5" w:rsidRDefault="00F259F5" w:rsidP="00F259F5">
            <w:pPr>
              <w:spacing w:beforeLines="60" w:before="144" w:afterLines="60" w:after="144"/>
              <w:contextualSpacing/>
              <w:jc w:val="left"/>
              <w:rPr>
                <w:b/>
              </w:rPr>
            </w:pPr>
            <w:r w:rsidRPr="00F259F5">
              <w:rPr>
                <w:b/>
              </w:rPr>
              <w:t>Jméno a příjmení: Dalibor Novotný</w:t>
            </w:r>
          </w:p>
          <w:p w:rsidR="00F259F5" w:rsidRDefault="00F259F5" w:rsidP="00F259F5">
            <w:pPr>
              <w:spacing w:beforeLines="60" w:before="144" w:afterLines="60" w:after="144"/>
              <w:contextualSpacing/>
              <w:jc w:val="left"/>
            </w:pPr>
            <w:r>
              <w:t>Pozice: obchodní manažer</w:t>
            </w:r>
          </w:p>
          <w:p w:rsidR="00F259F5" w:rsidRDefault="00F259F5" w:rsidP="00F259F5">
            <w:pPr>
              <w:spacing w:beforeLines="60" w:before="144" w:afterLines="60" w:after="144"/>
              <w:contextualSpacing/>
              <w:jc w:val="left"/>
            </w:pPr>
            <w:r>
              <w:t>Společnost/instituce: TEDOM a.s.</w:t>
            </w:r>
          </w:p>
          <w:p w:rsidR="00F259F5" w:rsidRDefault="00F259F5" w:rsidP="00F259F5">
            <w:pPr>
              <w:spacing w:beforeLines="60" w:before="144" w:afterLines="60" w:after="144"/>
              <w:contextualSpacing/>
              <w:jc w:val="left"/>
            </w:pPr>
            <w:r>
              <w:t>Telefon: +420 953 315 013, +420 602 724 028</w:t>
            </w:r>
          </w:p>
          <w:p w:rsidR="00F259F5" w:rsidRDefault="00F259F5" w:rsidP="00F259F5">
            <w:pPr>
              <w:spacing w:beforeLines="60" w:before="144" w:afterLines="60" w:after="144"/>
              <w:contextualSpacing/>
              <w:jc w:val="left"/>
            </w:pPr>
            <w:r>
              <w:t xml:space="preserve">E-mail: </w:t>
            </w:r>
            <w:r w:rsidRPr="00F259F5">
              <w:t>dalibor.novotny@tedom.com</w:t>
            </w:r>
          </w:p>
        </w:tc>
      </w:tr>
      <w:tr w:rsidR="00F259F5" w:rsidTr="00F259F5">
        <w:trPr>
          <w:trHeight w:val="1757"/>
        </w:trPr>
        <w:tc>
          <w:tcPr>
            <w:tcW w:w="9212" w:type="dxa"/>
            <w:vAlign w:val="center"/>
          </w:tcPr>
          <w:p w:rsidR="00F259F5" w:rsidRPr="00F259F5" w:rsidRDefault="00F259F5" w:rsidP="00F259F5">
            <w:pPr>
              <w:spacing w:beforeLines="60" w:before="144" w:afterLines="60" w:after="144"/>
              <w:contextualSpacing/>
              <w:jc w:val="left"/>
              <w:rPr>
                <w:b/>
              </w:rPr>
            </w:pPr>
            <w:r w:rsidRPr="00F259F5">
              <w:rPr>
                <w:b/>
              </w:rPr>
              <w:t>Jméno a příjmení: Jiří Jarma</w:t>
            </w:r>
          </w:p>
          <w:p w:rsidR="00F259F5" w:rsidRDefault="00F259F5" w:rsidP="00F259F5">
            <w:pPr>
              <w:spacing w:beforeLines="60" w:before="144" w:afterLines="60" w:after="144"/>
              <w:contextualSpacing/>
              <w:jc w:val="left"/>
            </w:pPr>
            <w:r>
              <w:t>Pozice: obchodní ředitel</w:t>
            </w:r>
          </w:p>
          <w:p w:rsidR="00F259F5" w:rsidRDefault="00F259F5" w:rsidP="00F259F5">
            <w:pPr>
              <w:spacing w:beforeLines="60" w:before="144" w:afterLines="60" w:after="144"/>
              <w:contextualSpacing/>
              <w:jc w:val="left"/>
            </w:pPr>
            <w:r>
              <w:t xml:space="preserve">Společnost/instituce: </w:t>
            </w:r>
            <w:r w:rsidRPr="00F259F5">
              <w:t>Johnson Controls Building Solutions, spol. s r.o.</w:t>
            </w:r>
          </w:p>
          <w:p w:rsidR="00F259F5" w:rsidRDefault="00F259F5" w:rsidP="00F259F5">
            <w:pPr>
              <w:spacing w:beforeLines="60" w:before="144" w:afterLines="60" w:after="144"/>
              <w:contextualSpacing/>
              <w:jc w:val="left"/>
            </w:pPr>
            <w:r>
              <w:t xml:space="preserve">Telefon: </w:t>
            </w:r>
            <w:r w:rsidRPr="00F259F5">
              <w:t>+420</w:t>
            </w:r>
            <w:r>
              <w:t> </w:t>
            </w:r>
            <w:r w:rsidRPr="00F259F5">
              <w:t>272</w:t>
            </w:r>
            <w:r>
              <w:t> </w:t>
            </w:r>
            <w:r w:rsidRPr="00F259F5">
              <w:t>121</w:t>
            </w:r>
            <w:r>
              <w:t> </w:t>
            </w:r>
            <w:r w:rsidRPr="00F259F5">
              <w:t>201</w:t>
            </w:r>
            <w:r>
              <w:t>,</w:t>
            </w:r>
            <w:r w:rsidRPr="00F259F5">
              <w:t xml:space="preserve"> +420</w:t>
            </w:r>
            <w:r>
              <w:t> </w:t>
            </w:r>
            <w:r w:rsidRPr="00F259F5">
              <w:t>602</w:t>
            </w:r>
            <w:r>
              <w:t> </w:t>
            </w:r>
            <w:r w:rsidRPr="00F259F5">
              <w:t>381</w:t>
            </w:r>
            <w:r>
              <w:t> </w:t>
            </w:r>
            <w:r w:rsidRPr="00F259F5">
              <w:t>633</w:t>
            </w:r>
            <w:r>
              <w:t xml:space="preserve"> </w:t>
            </w:r>
          </w:p>
          <w:p w:rsidR="00F259F5" w:rsidRDefault="00F259F5" w:rsidP="00F259F5">
            <w:pPr>
              <w:spacing w:beforeLines="60" w:before="144" w:afterLines="60" w:after="144"/>
              <w:contextualSpacing/>
              <w:jc w:val="left"/>
            </w:pPr>
            <w:r>
              <w:t xml:space="preserve">E-mail: </w:t>
            </w:r>
            <w:r w:rsidRPr="00F259F5">
              <w:t>Jiri.Jarma@jci.com</w:t>
            </w:r>
          </w:p>
        </w:tc>
      </w:tr>
      <w:tr w:rsidR="00F259F5" w:rsidTr="00F259F5">
        <w:trPr>
          <w:trHeight w:val="1757"/>
        </w:trPr>
        <w:tc>
          <w:tcPr>
            <w:tcW w:w="9212" w:type="dxa"/>
            <w:vAlign w:val="center"/>
          </w:tcPr>
          <w:p w:rsidR="00F259F5" w:rsidRPr="00F259F5" w:rsidRDefault="00F259F5" w:rsidP="00F259F5">
            <w:pPr>
              <w:spacing w:beforeLines="60" w:before="144" w:afterLines="60" w:after="144"/>
              <w:contextualSpacing/>
              <w:jc w:val="left"/>
              <w:rPr>
                <w:b/>
              </w:rPr>
            </w:pPr>
            <w:r w:rsidRPr="00F259F5">
              <w:rPr>
                <w:b/>
              </w:rPr>
              <w:t>Jméno a příjmení: Vladimír Houška</w:t>
            </w:r>
          </w:p>
          <w:p w:rsidR="00F259F5" w:rsidRDefault="00F259F5" w:rsidP="00F259F5">
            <w:pPr>
              <w:spacing w:beforeLines="60" w:before="144" w:afterLines="60" w:after="144"/>
              <w:contextualSpacing/>
              <w:jc w:val="left"/>
            </w:pPr>
            <w:r>
              <w:t>Pozice: vedoucí technického a nabídkového oddělení</w:t>
            </w:r>
          </w:p>
          <w:p w:rsidR="00F259F5" w:rsidRDefault="00F259F5" w:rsidP="00F259F5">
            <w:pPr>
              <w:spacing w:beforeLines="60" w:before="144" w:afterLines="60" w:after="144"/>
              <w:contextualSpacing/>
              <w:jc w:val="left"/>
            </w:pPr>
            <w:r>
              <w:t>Společnost/instituce: COMPLETE CZ, spol. s r.o.</w:t>
            </w:r>
          </w:p>
          <w:p w:rsidR="00F259F5" w:rsidRDefault="00F259F5" w:rsidP="00F259F5">
            <w:pPr>
              <w:spacing w:beforeLines="60" w:before="144" w:afterLines="60" w:after="144"/>
              <w:contextualSpacing/>
              <w:jc w:val="left"/>
            </w:pPr>
            <w:r>
              <w:t>Telefon: +420 777 929 989</w:t>
            </w:r>
          </w:p>
          <w:p w:rsidR="00F259F5" w:rsidRDefault="00F259F5" w:rsidP="00F259F5">
            <w:pPr>
              <w:spacing w:beforeLines="60" w:before="144" w:afterLines="60" w:after="144"/>
              <w:contextualSpacing/>
              <w:jc w:val="left"/>
            </w:pPr>
            <w:r>
              <w:t xml:space="preserve">E-mail: </w:t>
            </w:r>
            <w:r w:rsidRPr="00F259F5">
              <w:t>info@completeCZ.cz</w:t>
            </w:r>
          </w:p>
        </w:tc>
      </w:tr>
      <w:tr w:rsidR="007F145C" w:rsidTr="00F259F5">
        <w:trPr>
          <w:trHeight w:val="1757"/>
        </w:trPr>
        <w:tc>
          <w:tcPr>
            <w:tcW w:w="9212" w:type="dxa"/>
            <w:vAlign w:val="center"/>
          </w:tcPr>
          <w:p w:rsidR="007F145C" w:rsidRPr="00F259F5" w:rsidRDefault="007F145C" w:rsidP="007F145C">
            <w:pPr>
              <w:spacing w:beforeLines="60" w:before="144" w:afterLines="60" w:after="144"/>
              <w:contextualSpacing/>
              <w:jc w:val="left"/>
              <w:rPr>
                <w:b/>
              </w:rPr>
            </w:pPr>
            <w:r w:rsidRPr="00F259F5">
              <w:rPr>
                <w:b/>
              </w:rPr>
              <w:t xml:space="preserve">Jméno a příjmení: </w:t>
            </w:r>
            <w:r>
              <w:rPr>
                <w:b/>
              </w:rPr>
              <w:t>Michael Nack</w:t>
            </w:r>
          </w:p>
          <w:p w:rsidR="007F145C" w:rsidRDefault="007F145C" w:rsidP="007F145C">
            <w:pPr>
              <w:spacing w:beforeLines="60" w:before="144" w:afterLines="60" w:after="144"/>
              <w:contextualSpacing/>
              <w:jc w:val="left"/>
            </w:pPr>
            <w:r>
              <w:t>Pozice: vedoucí oddělení projektů</w:t>
            </w:r>
          </w:p>
          <w:p w:rsidR="007F145C" w:rsidRDefault="007F145C" w:rsidP="007F145C">
            <w:pPr>
              <w:spacing w:beforeLines="60" w:before="144" w:afterLines="60" w:after="144"/>
              <w:contextualSpacing/>
              <w:jc w:val="left"/>
            </w:pPr>
            <w:r>
              <w:t>Společnost/instituce: Jeremias CZ s.r.o.</w:t>
            </w:r>
          </w:p>
          <w:p w:rsidR="007F145C" w:rsidRDefault="007F145C" w:rsidP="007F145C">
            <w:pPr>
              <w:spacing w:beforeLines="60" w:before="144" w:afterLines="60" w:after="144"/>
              <w:contextualSpacing/>
              <w:jc w:val="left"/>
            </w:pPr>
            <w:r>
              <w:t xml:space="preserve">Telefon: </w:t>
            </w:r>
            <w:r w:rsidRPr="007F145C">
              <w:t>+420 602 283 499</w:t>
            </w:r>
          </w:p>
          <w:p w:rsidR="007F145C" w:rsidRPr="00F259F5" w:rsidRDefault="007F145C" w:rsidP="007F145C">
            <w:pPr>
              <w:spacing w:beforeLines="60" w:before="144" w:afterLines="60" w:after="144"/>
              <w:contextualSpacing/>
              <w:jc w:val="left"/>
              <w:rPr>
                <w:b/>
              </w:rPr>
            </w:pPr>
            <w:r>
              <w:t xml:space="preserve">E-mail: </w:t>
            </w:r>
            <w:r w:rsidRPr="007F145C">
              <w:t>Michael.Nack@jeremias.cz</w:t>
            </w:r>
          </w:p>
        </w:tc>
      </w:tr>
      <w:tr w:rsidR="007F145C" w:rsidTr="00F259F5">
        <w:trPr>
          <w:trHeight w:val="1757"/>
        </w:trPr>
        <w:tc>
          <w:tcPr>
            <w:tcW w:w="9212" w:type="dxa"/>
            <w:vAlign w:val="center"/>
          </w:tcPr>
          <w:p w:rsidR="007F145C" w:rsidRPr="00F259F5" w:rsidRDefault="007F145C" w:rsidP="007F145C">
            <w:pPr>
              <w:spacing w:beforeLines="60" w:before="144" w:afterLines="60" w:after="144"/>
              <w:contextualSpacing/>
              <w:jc w:val="left"/>
              <w:rPr>
                <w:b/>
              </w:rPr>
            </w:pPr>
            <w:r w:rsidRPr="00F259F5">
              <w:rPr>
                <w:b/>
              </w:rPr>
              <w:t xml:space="preserve">Jméno a příjmení: </w:t>
            </w:r>
            <w:r w:rsidR="00CF32FC">
              <w:rPr>
                <w:b/>
              </w:rPr>
              <w:t>Josef Koros</w:t>
            </w:r>
          </w:p>
          <w:p w:rsidR="007F145C" w:rsidRDefault="007F145C" w:rsidP="007F145C">
            <w:pPr>
              <w:spacing w:beforeLines="60" w:before="144" w:afterLines="60" w:after="144"/>
              <w:contextualSpacing/>
              <w:jc w:val="left"/>
            </w:pPr>
            <w:r>
              <w:t xml:space="preserve">Pozice: </w:t>
            </w:r>
            <w:r w:rsidR="00CF32FC">
              <w:t>nabídky VZT jednotek</w:t>
            </w:r>
          </w:p>
          <w:p w:rsidR="007F145C" w:rsidRDefault="007F145C" w:rsidP="007F145C">
            <w:pPr>
              <w:spacing w:beforeLines="60" w:before="144" w:afterLines="60" w:after="144"/>
              <w:contextualSpacing/>
              <w:jc w:val="left"/>
            </w:pPr>
            <w:r>
              <w:t xml:space="preserve">Společnost/instituce: </w:t>
            </w:r>
            <w:r w:rsidR="00CF32FC" w:rsidRPr="00CF32FC">
              <w:t>Rosenberg s.r.o.</w:t>
            </w:r>
          </w:p>
          <w:p w:rsidR="007F145C" w:rsidRDefault="007F145C" w:rsidP="007F145C">
            <w:pPr>
              <w:spacing w:beforeLines="60" w:before="144" w:afterLines="60" w:after="144"/>
              <w:contextualSpacing/>
              <w:jc w:val="left"/>
            </w:pPr>
            <w:r>
              <w:t xml:space="preserve">Telefon: </w:t>
            </w:r>
            <w:r w:rsidR="00CF32FC" w:rsidRPr="00CF32FC">
              <w:t>+420 271 771 215</w:t>
            </w:r>
          </w:p>
          <w:p w:rsidR="007F145C" w:rsidRPr="00F259F5" w:rsidRDefault="007F145C" w:rsidP="007F145C">
            <w:pPr>
              <w:spacing w:beforeLines="60" w:before="144" w:afterLines="60" w:after="144"/>
              <w:contextualSpacing/>
              <w:jc w:val="left"/>
              <w:rPr>
                <w:b/>
              </w:rPr>
            </w:pPr>
            <w:r>
              <w:t xml:space="preserve">E-mail: </w:t>
            </w:r>
            <w:r w:rsidR="00CF32FC" w:rsidRPr="00CF32FC">
              <w:t>koros@rosenberg.cz</w:t>
            </w:r>
          </w:p>
        </w:tc>
      </w:tr>
      <w:tr w:rsidR="00F259F5" w:rsidTr="00F259F5">
        <w:trPr>
          <w:trHeight w:val="1757"/>
        </w:trPr>
        <w:tc>
          <w:tcPr>
            <w:tcW w:w="9212" w:type="dxa"/>
            <w:vAlign w:val="center"/>
          </w:tcPr>
          <w:p w:rsidR="00F259F5" w:rsidRPr="00F259F5" w:rsidRDefault="00F259F5" w:rsidP="00F259F5">
            <w:pPr>
              <w:spacing w:beforeLines="60" w:before="144" w:afterLines="60" w:after="144"/>
              <w:contextualSpacing/>
              <w:jc w:val="left"/>
              <w:rPr>
                <w:b/>
              </w:rPr>
            </w:pPr>
            <w:r w:rsidRPr="00F259F5">
              <w:rPr>
                <w:b/>
              </w:rPr>
              <w:t>Energetický regulační úřad, Masarykovo náměstí 5, 586 01 Jihlava</w:t>
            </w:r>
          </w:p>
          <w:p w:rsidR="00F259F5" w:rsidRDefault="00F259F5" w:rsidP="00F259F5">
            <w:pPr>
              <w:spacing w:beforeLines="60" w:before="144" w:afterLines="60" w:after="144"/>
              <w:contextualSpacing/>
              <w:jc w:val="left"/>
            </w:pPr>
            <w:r>
              <w:t>Telefon: +420 564 578 666</w:t>
            </w:r>
          </w:p>
          <w:p w:rsidR="00F259F5" w:rsidRPr="00F259F5" w:rsidRDefault="00F259F5" w:rsidP="00F259F5">
            <w:pPr>
              <w:spacing w:beforeLines="60" w:before="144" w:afterLines="60" w:after="144"/>
              <w:contextualSpacing/>
              <w:jc w:val="left"/>
            </w:pPr>
            <w:r>
              <w:t>E-mail: podatelna</w:t>
            </w:r>
            <w:r>
              <w:rPr>
                <w:lang w:val="en-US"/>
              </w:rPr>
              <w:t>@eru.c</w:t>
            </w:r>
            <w:r>
              <w:t>z</w:t>
            </w:r>
          </w:p>
        </w:tc>
      </w:tr>
      <w:tr w:rsidR="00F259F5" w:rsidTr="00F259F5">
        <w:trPr>
          <w:trHeight w:val="1757"/>
        </w:trPr>
        <w:tc>
          <w:tcPr>
            <w:tcW w:w="9212" w:type="dxa"/>
            <w:vAlign w:val="center"/>
          </w:tcPr>
          <w:p w:rsidR="00F259F5" w:rsidRPr="00F259F5" w:rsidRDefault="00F259F5" w:rsidP="00F259F5">
            <w:pPr>
              <w:spacing w:beforeLines="60" w:before="144" w:afterLines="60" w:after="144"/>
              <w:contextualSpacing/>
              <w:jc w:val="left"/>
              <w:rPr>
                <w:b/>
              </w:rPr>
            </w:pPr>
            <w:r w:rsidRPr="00F259F5">
              <w:rPr>
                <w:b/>
              </w:rPr>
              <w:t>Státní fond životního prostředí</w:t>
            </w:r>
          </w:p>
          <w:p w:rsidR="00F259F5" w:rsidRDefault="00F259F5" w:rsidP="00F259F5">
            <w:pPr>
              <w:spacing w:beforeLines="60" w:before="144" w:afterLines="60" w:after="144"/>
              <w:contextualSpacing/>
              <w:jc w:val="left"/>
            </w:pPr>
            <w:r>
              <w:t>Jméno a příjmení: Bohdan Polak</w:t>
            </w:r>
          </w:p>
          <w:p w:rsidR="00F259F5" w:rsidRDefault="00F259F5" w:rsidP="00F259F5">
            <w:pPr>
              <w:spacing w:beforeLines="60" w:before="144" w:afterLines="60" w:after="144"/>
              <w:contextualSpacing/>
              <w:jc w:val="left"/>
            </w:pPr>
            <w:r>
              <w:t>Pozice: ředitel Odboru ochrany ovzduší a obnovitelných zdrojů energie</w:t>
            </w:r>
          </w:p>
          <w:p w:rsidR="00F259F5" w:rsidRDefault="00F259F5" w:rsidP="00F259F5">
            <w:pPr>
              <w:spacing w:beforeLines="60" w:before="144" w:afterLines="60" w:after="144"/>
              <w:contextualSpacing/>
              <w:jc w:val="left"/>
              <w:rPr>
                <w:rFonts w:cs="Arial"/>
                <w:color w:val="000000"/>
                <w:sz w:val="23"/>
                <w:szCs w:val="23"/>
              </w:rPr>
            </w:pPr>
            <w:r>
              <w:t xml:space="preserve">Telefon: +420 </w:t>
            </w:r>
            <w:r>
              <w:rPr>
                <w:rFonts w:cs="Arial"/>
                <w:color w:val="000000"/>
                <w:sz w:val="23"/>
                <w:szCs w:val="23"/>
              </w:rPr>
              <w:t>267 994 552</w:t>
            </w:r>
          </w:p>
          <w:p w:rsidR="00F259F5" w:rsidRDefault="00F259F5" w:rsidP="00F259F5">
            <w:pPr>
              <w:spacing w:beforeLines="60" w:before="144" w:afterLines="60" w:after="144"/>
              <w:contextualSpacing/>
              <w:jc w:val="left"/>
            </w:pPr>
            <w:r>
              <w:t>E-mail: bohdan.polak@sfzp.cz</w:t>
            </w:r>
          </w:p>
        </w:tc>
      </w:tr>
    </w:tbl>
    <w:p w:rsidR="00A5004B" w:rsidRDefault="00A5004B" w:rsidP="00945F96">
      <w:pPr>
        <w:pStyle w:val="Nadpis1"/>
      </w:pPr>
      <w:bookmarkStart w:id="173" w:name="_Toc58949415"/>
      <w:r w:rsidRPr="00945F96">
        <w:t>POUŽITÉ</w:t>
      </w:r>
      <w:r>
        <w:t xml:space="preserve"> ZDROJE</w:t>
      </w:r>
      <w:bookmarkEnd w:id="173"/>
    </w:p>
    <w:tbl>
      <w:tblPr>
        <w:tblStyle w:val="Mkatabulky"/>
        <w:tblW w:w="93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3"/>
        <w:gridCol w:w="8887"/>
      </w:tblGrid>
      <w:tr w:rsidR="00013D0B" w:rsidTr="00216873">
        <w:tc>
          <w:tcPr>
            <w:tcW w:w="510" w:type="dxa"/>
            <w:vAlign w:val="center"/>
          </w:tcPr>
          <w:p w:rsidR="00013D0B" w:rsidRPr="00013D0B" w:rsidRDefault="00013D0B" w:rsidP="002C09D6">
            <w:pPr>
              <w:jc w:val="left"/>
            </w:pPr>
            <w:r>
              <w:rPr>
                <w:lang w:val="en-US"/>
              </w:rPr>
              <w:t>[1]</w:t>
            </w:r>
          </w:p>
        </w:tc>
        <w:tc>
          <w:tcPr>
            <w:tcW w:w="8887" w:type="dxa"/>
            <w:vAlign w:val="center"/>
          </w:tcPr>
          <w:p w:rsidR="00013D0B" w:rsidRPr="00013D0B" w:rsidRDefault="00013D0B" w:rsidP="001C7601">
            <w:pPr>
              <w:jc w:val="left"/>
              <w:rPr>
                <w:rFonts w:cs="Arial"/>
                <w:color w:val="212529"/>
                <w:shd w:val="clear" w:color="auto" w:fill="FFFFFF"/>
              </w:rPr>
            </w:pPr>
            <w:r>
              <w:rPr>
                <w:rFonts w:cs="Arial"/>
                <w:color w:val="212529"/>
                <w:shd w:val="clear" w:color="auto" w:fill="FFFFFF"/>
              </w:rPr>
              <w:t>Kogenerace přispívá k decentralizaci zdrojů. </w:t>
            </w:r>
            <w:r>
              <w:rPr>
                <w:rFonts w:cs="Arial"/>
                <w:i/>
                <w:iCs/>
                <w:color w:val="212529"/>
                <w:shd w:val="clear" w:color="auto" w:fill="FFFFFF"/>
              </w:rPr>
              <w:t>Energie 21 | ćasopis obnovitelných zdrojů energie</w:t>
            </w:r>
            <w:r>
              <w:rPr>
                <w:rFonts w:cs="Arial"/>
                <w:color w:val="212529"/>
                <w:shd w:val="clear" w:color="auto" w:fill="FFFFFF"/>
              </w:rPr>
              <w:t xml:space="preserve"> [online]. Ostrava: Profi Press, 2013 [cit. 2020-11-27]. Dostupné z: </w:t>
            </w:r>
            <w:hyperlink r:id="rId62" w:history="1">
              <w:r w:rsidRPr="00F55D42">
                <w:rPr>
                  <w:rStyle w:val="Hypertextovodkaz"/>
                  <w:rFonts w:cs="Arial"/>
                  <w:shd w:val="clear" w:color="auto" w:fill="FFFFFF"/>
                </w:rPr>
                <w:t>https://www.energie21.cz/kogenerace-prispiva-k-decentralizaci-zdroju/</w:t>
              </w:r>
            </w:hyperlink>
          </w:p>
        </w:tc>
      </w:tr>
      <w:tr w:rsidR="00013D0B" w:rsidTr="00216873">
        <w:tc>
          <w:tcPr>
            <w:tcW w:w="510" w:type="dxa"/>
            <w:vAlign w:val="center"/>
          </w:tcPr>
          <w:p w:rsidR="00013D0B" w:rsidRPr="00013D0B" w:rsidRDefault="00013D0B" w:rsidP="002C09D6">
            <w:pPr>
              <w:jc w:val="left"/>
              <w:rPr>
                <w:lang w:val="en-US"/>
              </w:rPr>
            </w:pPr>
            <w:r>
              <w:rPr>
                <w:lang w:val="en-US"/>
              </w:rPr>
              <w:t>[2]</w:t>
            </w:r>
          </w:p>
        </w:tc>
        <w:tc>
          <w:tcPr>
            <w:tcW w:w="8887" w:type="dxa"/>
            <w:vAlign w:val="center"/>
          </w:tcPr>
          <w:p w:rsidR="00013D0B" w:rsidRDefault="00013D0B" w:rsidP="001C7601">
            <w:pPr>
              <w:jc w:val="left"/>
            </w:pPr>
            <w:r>
              <w:rPr>
                <w:rFonts w:cs="Arial"/>
                <w:i/>
                <w:iCs/>
                <w:color w:val="212529"/>
                <w:shd w:val="clear" w:color="auto" w:fill="FFFFFF"/>
              </w:rPr>
              <w:t>Cenové rozhodnutí Energetického regulačního úřadu, kterým se stanovuje podpora pro podporované zdroje energie</w:t>
            </w:r>
            <w:r>
              <w:rPr>
                <w:rFonts w:cs="Arial"/>
                <w:color w:val="212529"/>
                <w:shd w:val="clear" w:color="auto" w:fill="FFFFFF"/>
              </w:rPr>
              <w:t>. In: . Jihlava: Energetický regulační úřad, 2020, ročník 2020, X.</w:t>
            </w:r>
          </w:p>
        </w:tc>
      </w:tr>
      <w:tr w:rsidR="00013D0B" w:rsidTr="00216873">
        <w:tc>
          <w:tcPr>
            <w:tcW w:w="510" w:type="dxa"/>
            <w:vAlign w:val="center"/>
          </w:tcPr>
          <w:p w:rsidR="00013D0B" w:rsidRDefault="00013D0B" w:rsidP="002C09D6">
            <w:pPr>
              <w:jc w:val="left"/>
            </w:pPr>
            <w:r>
              <w:t>[3]</w:t>
            </w:r>
          </w:p>
        </w:tc>
        <w:tc>
          <w:tcPr>
            <w:tcW w:w="8887" w:type="dxa"/>
            <w:vAlign w:val="center"/>
          </w:tcPr>
          <w:p w:rsidR="00013D0B" w:rsidRDefault="002C09D6" w:rsidP="001C7601">
            <w:pPr>
              <w:jc w:val="left"/>
            </w:pPr>
            <w:r>
              <w:rPr>
                <w:rFonts w:cs="Arial"/>
                <w:i/>
                <w:iCs/>
                <w:color w:val="212529"/>
                <w:shd w:val="clear" w:color="auto" w:fill="FFFFFF"/>
              </w:rPr>
              <w:t>Jednostupňové absorpční chladicí zařízení</w:t>
            </w:r>
            <w:r>
              <w:rPr>
                <w:rFonts w:cs="Arial"/>
                <w:color w:val="212529"/>
                <w:shd w:val="clear" w:color="auto" w:fill="FFFFFF"/>
              </w:rPr>
              <w:t> [online]. In: . Johnson Controls, 2016, s. 1–144 [cit. 2020-11-27].</w:t>
            </w:r>
          </w:p>
        </w:tc>
      </w:tr>
      <w:tr w:rsidR="00013D0B" w:rsidTr="00216873">
        <w:tc>
          <w:tcPr>
            <w:tcW w:w="510" w:type="dxa"/>
            <w:vAlign w:val="center"/>
          </w:tcPr>
          <w:p w:rsidR="00013D0B" w:rsidRDefault="00013D0B" w:rsidP="002C09D6">
            <w:pPr>
              <w:jc w:val="left"/>
            </w:pPr>
            <w:r>
              <w:t>[4]</w:t>
            </w:r>
          </w:p>
        </w:tc>
        <w:tc>
          <w:tcPr>
            <w:tcW w:w="8887" w:type="dxa"/>
            <w:vAlign w:val="center"/>
          </w:tcPr>
          <w:p w:rsidR="00013D0B" w:rsidRDefault="002C09D6" w:rsidP="001C7601">
            <w:pPr>
              <w:jc w:val="left"/>
            </w:pPr>
            <w:r>
              <w:rPr>
                <w:rFonts w:cs="Arial"/>
                <w:color w:val="212529"/>
                <w:shd w:val="clear" w:color="auto" w:fill="FFFFFF"/>
              </w:rPr>
              <w:t>KRÁČMAR, Jan. </w:t>
            </w:r>
            <w:r>
              <w:rPr>
                <w:rFonts w:cs="Arial"/>
                <w:i/>
                <w:iCs/>
                <w:color w:val="212529"/>
                <w:shd w:val="clear" w:color="auto" w:fill="FFFFFF"/>
              </w:rPr>
              <w:t>Analýza zdrojů chladu pro administrativní budovu</w:t>
            </w:r>
            <w:r>
              <w:rPr>
                <w:rFonts w:cs="Arial"/>
                <w:color w:val="212529"/>
                <w:shd w:val="clear" w:color="auto" w:fill="FFFFFF"/>
              </w:rPr>
              <w:t>. Praha, 2018. Diplomová práce. České vysoké učení technické v Praze, Fakulta stavební, katedra TZB. Vedoucí práce Ing. Zuzana Veverková, Ph.D.</w:t>
            </w:r>
          </w:p>
        </w:tc>
      </w:tr>
      <w:tr w:rsidR="00013D0B" w:rsidTr="00216873">
        <w:tc>
          <w:tcPr>
            <w:tcW w:w="510" w:type="dxa"/>
            <w:vAlign w:val="center"/>
          </w:tcPr>
          <w:p w:rsidR="00013D0B" w:rsidRDefault="00013D0B" w:rsidP="002C09D6">
            <w:pPr>
              <w:jc w:val="left"/>
            </w:pPr>
            <w:r>
              <w:t>[5]</w:t>
            </w:r>
          </w:p>
        </w:tc>
        <w:tc>
          <w:tcPr>
            <w:tcW w:w="8887" w:type="dxa"/>
            <w:vAlign w:val="center"/>
          </w:tcPr>
          <w:p w:rsidR="00013D0B" w:rsidRDefault="002C09D6" w:rsidP="001C7601">
            <w:pPr>
              <w:jc w:val="left"/>
            </w:pPr>
            <w:r>
              <w:rPr>
                <w:rFonts w:cs="Arial"/>
                <w:color w:val="212529"/>
                <w:shd w:val="clear" w:color="auto" w:fill="FFFFFF"/>
              </w:rPr>
              <w:t>ISKOlimity. </w:t>
            </w:r>
            <w:r>
              <w:rPr>
                <w:rFonts w:cs="Arial"/>
                <w:i/>
                <w:iCs/>
                <w:color w:val="212529"/>
                <w:shd w:val="clear" w:color="auto" w:fill="FFFFFF"/>
              </w:rPr>
              <w:t>Portál ČHMÚ</w:t>
            </w:r>
            <w:r>
              <w:rPr>
                <w:rFonts w:cs="Arial"/>
                <w:color w:val="212529"/>
                <w:shd w:val="clear" w:color="auto" w:fill="FFFFFF"/>
              </w:rPr>
              <w:t> [online]. Praha: ČHMÚ, 2012 [cit. 2020-11-27]. Dostupné z: http://portal.chmi.cz/files/portal/docs/uoco/isko/info/limity_CZ.html</w:t>
            </w:r>
          </w:p>
        </w:tc>
      </w:tr>
      <w:tr w:rsidR="00013D0B" w:rsidTr="00216873">
        <w:tc>
          <w:tcPr>
            <w:tcW w:w="510" w:type="dxa"/>
            <w:vAlign w:val="center"/>
          </w:tcPr>
          <w:p w:rsidR="00013D0B" w:rsidRDefault="00013D0B" w:rsidP="002C09D6">
            <w:pPr>
              <w:jc w:val="left"/>
            </w:pPr>
            <w:r>
              <w:t>[6]</w:t>
            </w:r>
          </w:p>
        </w:tc>
        <w:tc>
          <w:tcPr>
            <w:tcW w:w="8887" w:type="dxa"/>
            <w:vAlign w:val="center"/>
          </w:tcPr>
          <w:p w:rsidR="00013D0B" w:rsidRDefault="002C09D6" w:rsidP="001C7601">
            <w:pPr>
              <w:jc w:val="left"/>
            </w:pPr>
            <w:r>
              <w:rPr>
                <w:rFonts w:cs="Arial"/>
                <w:i/>
                <w:iCs/>
                <w:color w:val="212529"/>
                <w:shd w:val="clear" w:color="auto" w:fill="FFFFFF"/>
              </w:rPr>
              <w:t>VITOBLOC 200, typ EM-260/390, Technický popis</w:t>
            </w:r>
            <w:r>
              <w:rPr>
                <w:rFonts w:cs="Arial"/>
                <w:color w:val="212529"/>
                <w:shd w:val="clear" w:color="auto" w:fill="FFFFFF"/>
              </w:rPr>
              <w:t> [online]. In: . Allendorf: Viessmann Werke GmbH&amp;Co, 2020, s. 1–38 [cit. 2020-11-27].</w:t>
            </w:r>
          </w:p>
        </w:tc>
      </w:tr>
      <w:tr w:rsidR="00013D0B" w:rsidTr="00216873">
        <w:tc>
          <w:tcPr>
            <w:tcW w:w="510" w:type="dxa"/>
            <w:vAlign w:val="center"/>
          </w:tcPr>
          <w:p w:rsidR="00013D0B" w:rsidRDefault="00013D0B" w:rsidP="002C09D6">
            <w:pPr>
              <w:jc w:val="left"/>
            </w:pPr>
            <w:r>
              <w:t>[7]</w:t>
            </w:r>
          </w:p>
        </w:tc>
        <w:tc>
          <w:tcPr>
            <w:tcW w:w="8887" w:type="dxa"/>
            <w:vAlign w:val="center"/>
          </w:tcPr>
          <w:p w:rsidR="00013D0B" w:rsidRDefault="002C09D6" w:rsidP="001C7601">
            <w:pPr>
              <w:jc w:val="left"/>
            </w:pPr>
            <w:r>
              <w:rPr>
                <w:rFonts w:cs="Arial"/>
                <w:color w:val="212529"/>
                <w:shd w:val="clear" w:color="auto" w:fill="FFFFFF"/>
              </w:rPr>
              <w:t>Pětiletý průměr 2015–2019, NO2 roční průměr. In: </w:t>
            </w:r>
            <w:r>
              <w:rPr>
                <w:rFonts w:cs="Arial"/>
                <w:i/>
                <w:iCs/>
                <w:color w:val="212529"/>
                <w:shd w:val="clear" w:color="auto" w:fill="FFFFFF"/>
              </w:rPr>
              <w:t>Portál ČHMÚ</w:t>
            </w:r>
            <w:r>
              <w:rPr>
                <w:rFonts w:cs="Arial"/>
                <w:color w:val="212529"/>
                <w:shd w:val="clear" w:color="auto" w:fill="FFFFFF"/>
              </w:rPr>
              <w:t> [online]. Praha: ČHMÚ, 2020 [cit. 2020-11-27]. Dostupné z: http://portal.chmi.cz/files/portal/docs/uoco/isko/ozko/19petileti/png/NO2/19NO2_regA.png</w:t>
            </w:r>
          </w:p>
        </w:tc>
      </w:tr>
      <w:tr w:rsidR="00013D0B" w:rsidTr="00216873">
        <w:tc>
          <w:tcPr>
            <w:tcW w:w="510" w:type="dxa"/>
            <w:vAlign w:val="center"/>
          </w:tcPr>
          <w:p w:rsidR="00013D0B" w:rsidRPr="00013D0B" w:rsidRDefault="00013D0B" w:rsidP="002C09D6">
            <w:pPr>
              <w:jc w:val="left"/>
              <w:rPr>
                <w:lang w:val="en-US"/>
              </w:rPr>
            </w:pPr>
            <w:r>
              <w:rPr>
                <w:lang w:val="en-US"/>
              </w:rPr>
              <w:t>[8]</w:t>
            </w:r>
          </w:p>
        </w:tc>
        <w:tc>
          <w:tcPr>
            <w:tcW w:w="8887" w:type="dxa"/>
            <w:vAlign w:val="center"/>
          </w:tcPr>
          <w:p w:rsidR="00013D0B" w:rsidRPr="00BA416D" w:rsidRDefault="001C7601" w:rsidP="001C7601">
            <w:pPr>
              <w:shd w:val="clear" w:color="auto" w:fill="FFFFFF"/>
              <w:spacing w:before="0" w:after="0"/>
              <w:jc w:val="left"/>
              <w:rPr>
                <w:rFonts w:eastAsia="Times New Roman" w:cs="Arial"/>
                <w:color w:val="212529"/>
                <w:lang w:eastAsia="cs-CZ"/>
              </w:rPr>
            </w:pPr>
            <w:r w:rsidRPr="00BA416D">
              <w:rPr>
                <w:rFonts w:eastAsia="Times New Roman" w:cs="Arial"/>
                <w:i/>
                <w:iCs/>
                <w:color w:val="212529"/>
                <w:lang w:eastAsia="cs-CZ"/>
              </w:rPr>
              <w:t>Topenářská příručka</w:t>
            </w:r>
            <w:r w:rsidRPr="00BA416D">
              <w:rPr>
                <w:rFonts w:eastAsia="Times New Roman" w:cs="Arial"/>
                <w:color w:val="212529"/>
                <w:lang w:eastAsia="cs-CZ"/>
              </w:rPr>
              <w:t>. Praha: Agentura ČSTZ, 2007, s. 100–106. ISBN 978-80-86028-13-2.</w:t>
            </w:r>
          </w:p>
        </w:tc>
      </w:tr>
      <w:tr w:rsidR="00013D0B" w:rsidTr="00216873">
        <w:tc>
          <w:tcPr>
            <w:tcW w:w="510" w:type="dxa"/>
            <w:vAlign w:val="center"/>
          </w:tcPr>
          <w:p w:rsidR="00013D0B" w:rsidRPr="00013D0B" w:rsidRDefault="00013D0B" w:rsidP="00EA5656">
            <w:pPr>
              <w:jc w:val="left"/>
              <w:rPr>
                <w:lang w:val="en-US"/>
              </w:rPr>
            </w:pPr>
            <w:r>
              <w:rPr>
                <w:lang w:val="en-US"/>
              </w:rPr>
              <w:t>[</w:t>
            </w:r>
            <w:r w:rsidR="00EA5656">
              <w:rPr>
                <w:lang w:val="en-US"/>
              </w:rPr>
              <w:t>9</w:t>
            </w:r>
            <w:r>
              <w:rPr>
                <w:lang w:val="en-US"/>
              </w:rPr>
              <w:t>]</w:t>
            </w:r>
          </w:p>
        </w:tc>
        <w:tc>
          <w:tcPr>
            <w:tcW w:w="8887" w:type="dxa"/>
            <w:vAlign w:val="center"/>
          </w:tcPr>
          <w:p w:rsidR="00013D0B" w:rsidRDefault="00EA5656" w:rsidP="001C7601">
            <w:pPr>
              <w:jc w:val="left"/>
            </w:pPr>
            <w:r>
              <w:rPr>
                <w:rFonts w:cs="Arial"/>
                <w:i/>
                <w:iCs/>
                <w:color w:val="212529"/>
                <w:shd w:val="clear" w:color="auto" w:fill="FFFFFF"/>
              </w:rPr>
              <w:t>Air/Water Chillers for Outdoor Installation Scroll compressors, Plate Heat Exchangers and Axial Fans Cooling capacity 216,9÷1049,5 kW</w:t>
            </w:r>
            <w:r>
              <w:rPr>
                <w:rFonts w:cs="Arial"/>
                <w:color w:val="212529"/>
                <w:shd w:val="clear" w:color="auto" w:fill="FFFFFF"/>
              </w:rPr>
              <w:t> [online]. In: . Roma: Aermec S.p.A, 2020, s. 1–4 [cit. 2020-11-27].</w:t>
            </w:r>
          </w:p>
        </w:tc>
      </w:tr>
      <w:tr w:rsidR="00134822" w:rsidTr="00216873">
        <w:tc>
          <w:tcPr>
            <w:tcW w:w="510" w:type="dxa"/>
            <w:vAlign w:val="center"/>
          </w:tcPr>
          <w:p w:rsidR="00134822" w:rsidRDefault="00134822" w:rsidP="00EA5656">
            <w:pPr>
              <w:jc w:val="left"/>
              <w:rPr>
                <w:lang w:val="en-US"/>
              </w:rPr>
            </w:pPr>
            <w:r>
              <w:rPr>
                <w:lang w:val="en-US"/>
              </w:rPr>
              <w:t>[10]</w:t>
            </w:r>
          </w:p>
        </w:tc>
        <w:tc>
          <w:tcPr>
            <w:tcW w:w="8887" w:type="dxa"/>
            <w:vAlign w:val="center"/>
          </w:tcPr>
          <w:p w:rsidR="00134822" w:rsidRDefault="00134822" w:rsidP="001C7601">
            <w:pPr>
              <w:jc w:val="left"/>
              <w:rPr>
                <w:rFonts w:cs="Arial"/>
                <w:i/>
                <w:iCs/>
                <w:color w:val="212529"/>
                <w:shd w:val="clear" w:color="auto" w:fill="FFFFFF"/>
              </w:rPr>
            </w:pPr>
            <w:r w:rsidRPr="00134822">
              <w:rPr>
                <w:rFonts w:cs="Arial"/>
                <w:i/>
                <w:iCs/>
                <w:color w:val="212529"/>
                <w:shd w:val="clear" w:color="auto" w:fill="FFFFFF"/>
              </w:rPr>
              <w:t>Dotační program pro čerpání finančních prostředků z evropských fondů na ochranu a zlepšování životního prostředí. Operační program Životní prostředí [online]. Státní fond životního prostředí ČR [cit. 2020-12-02]. Dostupné z: https://www.opzp.cz/nabidka-dotaci/detail-vyzvy/?id=161</w:t>
            </w:r>
          </w:p>
        </w:tc>
      </w:tr>
    </w:tbl>
    <w:p w:rsidR="00A5004B" w:rsidRDefault="00232F07" w:rsidP="00573A99">
      <w:pPr>
        <w:pStyle w:val="Nadpis1"/>
      </w:pPr>
      <w:bookmarkStart w:id="174" w:name="_Toc58949416"/>
      <w:r w:rsidRPr="00573A99">
        <w:t>PŘÍLOHY</w:t>
      </w:r>
      <w:bookmarkEnd w:id="174"/>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8395"/>
      </w:tblGrid>
      <w:tr w:rsidR="003C1E27" w:rsidRPr="002410EE" w:rsidTr="00E01B4F">
        <w:tc>
          <w:tcPr>
            <w:tcW w:w="817" w:type="dxa"/>
            <w:vAlign w:val="center"/>
          </w:tcPr>
          <w:p w:rsidR="003C1E27" w:rsidRPr="002410EE" w:rsidRDefault="003C1E27" w:rsidP="006B3C7C">
            <w:pPr>
              <w:jc w:val="left"/>
            </w:pPr>
            <w:r w:rsidRPr="002410EE">
              <w:rPr>
                <w:noProof/>
                <w:lang w:eastAsia="cs-CZ"/>
              </w:rPr>
              <w:drawing>
                <wp:inline distT="0" distB="0" distL="0" distR="0" wp14:anchorId="61CD5C10" wp14:editId="1E51CBE0">
                  <wp:extent cx="327928" cy="36000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3C1E27" w:rsidRPr="002410EE" w:rsidRDefault="003C1E27" w:rsidP="006B3C7C">
            <w:pPr>
              <w:jc w:val="left"/>
            </w:pPr>
            <w:bookmarkStart w:id="175" w:name="_Ref56065056"/>
            <w:r w:rsidRPr="002410EE">
              <w:t xml:space="preserve">Příloha č. </w:t>
            </w:r>
            <w:fldSimple w:instr=" SEQ Příloha_č. \* ARABIC ">
              <w:r w:rsidR="00816426">
                <w:rPr>
                  <w:noProof/>
                </w:rPr>
                <w:t>1</w:t>
              </w:r>
            </w:fldSimple>
            <w:bookmarkEnd w:id="175"/>
            <w:r w:rsidRPr="002410EE">
              <w:t xml:space="preserve"> – Metodický pokyn k povolování kogeneračních jednotek na území hl. m. Prahy</w:t>
            </w:r>
          </w:p>
        </w:tc>
      </w:tr>
      <w:tr w:rsidR="006B3C7C" w:rsidRPr="002410EE" w:rsidTr="00E01B4F">
        <w:tc>
          <w:tcPr>
            <w:tcW w:w="817" w:type="dxa"/>
            <w:vAlign w:val="center"/>
          </w:tcPr>
          <w:p w:rsidR="006B3C7C" w:rsidRPr="002410EE" w:rsidRDefault="006B3C7C" w:rsidP="006B3C7C">
            <w:pPr>
              <w:keepNext/>
              <w:jc w:val="left"/>
            </w:pPr>
            <w:r w:rsidRPr="002410EE">
              <w:rPr>
                <w:noProof/>
                <w:lang w:eastAsia="cs-CZ"/>
              </w:rPr>
              <w:drawing>
                <wp:inline distT="0" distB="0" distL="0" distR="0" wp14:anchorId="578157D3" wp14:editId="18132986">
                  <wp:extent cx="327928" cy="360000"/>
                  <wp:effectExtent l="0" t="0" r="0"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6B3C7C" w:rsidRPr="002410EE" w:rsidRDefault="006B3C7C" w:rsidP="006B3C7C">
            <w:pPr>
              <w:jc w:val="left"/>
            </w:pPr>
            <w:r>
              <w:t xml:space="preserve">Příloha č. </w:t>
            </w:r>
            <w:fldSimple w:instr=" SEQ Příloha_č. \* ARABIC ">
              <w:r w:rsidR="00816426">
                <w:rPr>
                  <w:noProof/>
                </w:rPr>
                <w:t>2</w:t>
              </w:r>
            </w:fldSimple>
            <w:r>
              <w:t xml:space="preserve"> – Kladné vyjádření odboru životního prostředí hl. m. Prahy </w:t>
            </w:r>
          </w:p>
        </w:tc>
      </w:tr>
      <w:tr w:rsidR="00EB32C2" w:rsidRPr="002410EE" w:rsidTr="00E01B4F">
        <w:tc>
          <w:tcPr>
            <w:tcW w:w="817" w:type="dxa"/>
            <w:vAlign w:val="center"/>
          </w:tcPr>
          <w:p w:rsidR="00EB32C2" w:rsidRPr="002410EE" w:rsidRDefault="00EB32C2" w:rsidP="006B3C7C">
            <w:pPr>
              <w:jc w:val="left"/>
            </w:pPr>
            <w:r w:rsidRPr="002410EE">
              <w:rPr>
                <w:noProof/>
                <w:lang w:eastAsia="cs-CZ"/>
              </w:rPr>
              <w:drawing>
                <wp:inline distT="0" distB="0" distL="0" distR="0" wp14:anchorId="322CB46D" wp14:editId="78127CA8">
                  <wp:extent cx="327928" cy="36000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EB32C2" w:rsidRPr="002410EE" w:rsidRDefault="00EB32C2" w:rsidP="006B3C7C">
            <w:pPr>
              <w:jc w:val="left"/>
            </w:pPr>
            <w:bookmarkStart w:id="176" w:name="_Ref57724074"/>
            <w:r w:rsidRPr="002410EE">
              <w:t xml:space="preserve">Příloha č. </w:t>
            </w:r>
            <w:fldSimple w:instr=" SEQ Příloha_č. \* ARABIC ">
              <w:r w:rsidR="00816426">
                <w:rPr>
                  <w:noProof/>
                </w:rPr>
                <w:t>3</w:t>
              </w:r>
            </w:fldSimple>
            <w:bookmarkEnd w:id="176"/>
            <w:r w:rsidRPr="002410EE">
              <w:t xml:space="preserve"> – Protokol o autorizovaném měření plynných emisí č. 6146/2015</w:t>
            </w:r>
          </w:p>
        </w:tc>
      </w:tr>
      <w:tr w:rsidR="00EB32C2" w:rsidRPr="002410EE" w:rsidTr="00E01B4F">
        <w:tc>
          <w:tcPr>
            <w:tcW w:w="817" w:type="dxa"/>
            <w:vAlign w:val="center"/>
          </w:tcPr>
          <w:p w:rsidR="00EB32C2" w:rsidRPr="002410EE" w:rsidRDefault="00EB32C2" w:rsidP="006B3C7C">
            <w:pPr>
              <w:jc w:val="left"/>
            </w:pPr>
            <w:r w:rsidRPr="002410EE">
              <w:rPr>
                <w:noProof/>
                <w:lang w:eastAsia="cs-CZ"/>
              </w:rPr>
              <w:drawing>
                <wp:inline distT="0" distB="0" distL="0" distR="0" wp14:anchorId="784528AC" wp14:editId="10364134">
                  <wp:extent cx="327928" cy="360000"/>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EB32C2" w:rsidRPr="002410EE" w:rsidRDefault="00EB32C2" w:rsidP="006B3C7C">
            <w:pPr>
              <w:jc w:val="left"/>
            </w:pPr>
            <w:r w:rsidRPr="002410EE">
              <w:t xml:space="preserve">Příloha č. </w:t>
            </w:r>
            <w:fldSimple w:instr=" SEQ Příloha_č. \* ARABIC ">
              <w:r w:rsidR="00816426">
                <w:rPr>
                  <w:noProof/>
                </w:rPr>
                <w:t>4</w:t>
              </w:r>
            </w:fldSimple>
            <w:r w:rsidRPr="002410EE">
              <w:t xml:space="preserve"> – Protokol o autorizovaném měření plynných emisí č. 6410/2016</w:t>
            </w:r>
          </w:p>
        </w:tc>
      </w:tr>
      <w:tr w:rsidR="00EB32C2" w:rsidRPr="002410EE" w:rsidTr="00E01B4F">
        <w:tc>
          <w:tcPr>
            <w:tcW w:w="817" w:type="dxa"/>
            <w:vAlign w:val="center"/>
          </w:tcPr>
          <w:p w:rsidR="00EB32C2" w:rsidRPr="002410EE" w:rsidRDefault="00EB32C2" w:rsidP="006B3C7C">
            <w:pPr>
              <w:jc w:val="left"/>
            </w:pPr>
            <w:r w:rsidRPr="002410EE">
              <w:rPr>
                <w:noProof/>
                <w:lang w:eastAsia="cs-CZ"/>
              </w:rPr>
              <w:drawing>
                <wp:inline distT="0" distB="0" distL="0" distR="0" wp14:anchorId="0C701EF7" wp14:editId="4460B09D">
                  <wp:extent cx="327928" cy="360000"/>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EB32C2" w:rsidRPr="002410EE" w:rsidRDefault="00EB32C2" w:rsidP="006B3C7C">
            <w:pPr>
              <w:jc w:val="left"/>
            </w:pPr>
            <w:r w:rsidRPr="002410EE">
              <w:t xml:space="preserve">Příloha č. </w:t>
            </w:r>
            <w:fldSimple w:instr=" SEQ Příloha_č. \* ARABIC ">
              <w:r w:rsidR="00816426">
                <w:rPr>
                  <w:noProof/>
                </w:rPr>
                <w:t>5</w:t>
              </w:r>
            </w:fldSimple>
            <w:r w:rsidRPr="002410EE">
              <w:t xml:space="preserve"> – Protokol o autorizovaném měření plynných emisí č. 6664/2017</w:t>
            </w:r>
          </w:p>
        </w:tc>
      </w:tr>
      <w:tr w:rsidR="00EB32C2" w:rsidRPr="002410EE" w:rsidTr="00E01B4F">
        <w:tc>
          <w:tcPr>
            <w:tcW w:w="817" w:type="dxa"/>
            <w:vAlign w:val="center"/>
          </w:tcPr>
          <w:p w:rsidR="00EB32C2" w:rsidRPr="002410EE" w:rsidRDefault="00EB32C2" w:rsidP="006B3C7C">
            <w:pPr>
              <w:jc w:val="left"/>
            </w:pPr>
            <w:r w:rsidRPr="002410EE">
              <w:rPr>
                <w:noProof/>
                <w:lang w:eastAsia="cs-CZ"/>
              </w:rPr>
              <w:drawing>
                <wp:inline distT="0" distB="0" distL="0" distR="0" wp14:anchorId="4C644A6E" wp14:editId="3E883E2B">
                  <wp:extent cx="327928" cy="36000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EB32C2" w:rsidRPr="002410EE" w:rsidRDefault="00EB32C2" w:rsidP="006B3C7C">
            <w:pPr>
              <w:jc w:val="left"/>
            </w:pPr>
            <w:r w:rsidRPr="002410EE">
              <w:t xml:space="preserve">Příloha č. </w:t>
            </w:r>
            <w:fldSimple w:instr=" SEQ Příloha_č. \* ARABIC ">
              <w:r w:rsidR="00816426">
                <w:rPr>
                  <w:noProof/>
                </w:rPr>
                <w:t>6</w:t>
              </w:r>
            </w:fldSimple>
            <w:r w:rsidRPr="002410EE">
              <w:t xml:space="preserve"> – Protokol o autorizovaném měření plynných emisí č. 6904/2018</w:t>
            </w:r>
          </w:p>
        </w:tc>
      </w:tr>
      <w:tr w:rsidR="00AE4EC8" w:rsidRPr="002410EE" w:rsidTr="00E01B4F">
        <w:tc>
          <w:tcPr>
            <w:tcW w:w="817" w:type="dxa"/>
            <w:vAlign w:val="center"/>
          </w:tcPr>
          <w:p w:rsidR="00AE4EC8" w:rsidRPr="002410EE" w:rsidRDefault="00AE4EC8" w:rsidP="006B3C7C">
            <w:pPr>
              <w:jc w:val="left"/>
            </w:pPr>
            <w:r w:rsidRPr="002410EE">
              <w:rPr>
                <w:noProof/>
                <w:lang w:eastAsia="cs-CZ"/>
              </w:rPr>
              <w:drawing>
                <wp:inline distT="0" distB="0" distL="0" distR="0" wp14:anchorId="0BC5DA28" wp14:editId="404EDE8A">
                  <wp:extent cx="327928" cy="3600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AE4EC8" w:rsidRPr="002410EE" w:rsidRDefault="00AE4EC8" w:rsidP="006B3C7C">
            <w:pPr>
              <w:jc w:val="left"/>
            </w:pPr>
            <w:bookmarkStart w:id="177" w:name="_Ref56441094"/>
            <w:r w:rsidRPr="002410EE">
              <w:t xml:space="preserve">Příloha č. </w:t>
            </w:r>
            <w:fldSimple w:instr=" SEQ Příloha_č. \* ARABIC ">
              <w:r w:rsidR="00816426">
                <w:rPr>
                  <w:noProof/>
                </w:rPr>
                <w:t>7</w:t>
              </w:r>
            </w:fldSimple>
            <w:bookmarkEnd w:id="177"/>
            <w:r w:rsidRPr="002410EE">
              <w:t xml:space="preserve"> – Protokol o autorizovaném měření plynných emisí č. 7280/2019</w:t>
            </w:r>
          </w:p>
        </w:tc>
      </w:tr>
      <w:tr w:rsidR="003C1E27" w:rsidRPr="002410EE" w:rsidTr="00E01B4F">
        <w:tc>
          <w:tcPr>
            <w:tcW w:w="817" w:type="dxa"/>
            <w:vAlign w:val="center"/>
          </w:tcPr>
          <w:p w:rsidR="003C1E27" w:rsidRPr="002410EE" w:rsidRDefault="00B87BF3" w:rsidP="006B3C7C">
            <w:pPr>
              <w:jc w:val="left"/>
            </w:pPr>
            <w:r w:rsidRPr="002410EE">
              <w:rPr>
                <w:noProof/>
                <w:lang w:eastAsia="cs-CZ"/>
              </w:rPr>
              <w:drawing>
                <wp:inline distT="0" distB="0" distL="0" distR="0" wp14:anchorId="2CBC1BD7" wp14:editId="4784DA6D">
                  <wp:extent cx="327928" cy="36000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3C1E27" w:rsidRPr="002410EE" w:rsidRDefault="008F139A" w:rsidP="00EB740D">
            <w:pPr>
              <w:jc w:val="left"/>
            </w:pPr>
            <w:bookmarkStart w:id="178" w:name="_Ref56448609"/>
            <w:r w:rsidRPr="002410EE">
              <w:t xml:space="preserve">Příloha č. </w:t>
            </w:r>
            <w:fldSimple w:instr=" SEQ Příloha_č. \* ARABIC ">
              <w:r w:rsidR="00816426">
                <w:rPr>
                  <w:noProof/>
                </w:rPr>
                <w:t>8</w:t>
              </w:r>
            </w:fldSimple>
            <w:bookmarkEnd w:id="178"/>
            <w:r w:rsidRPr="002410EE">
              <w:t xml:space="preserve"> – Finanční analýza – varianta B</w:t>
            </w:r>
            <w:r w:rsidR="006B3C7C">
              <w:t xml:space="preserve"> (bez uvažování dotace ze Státního fondu životního prostředí ČR)</w:t>
            </w:r>
          </w:p>
        </w:tc>
      </w:tr>
      <w:tr w:rsidR="00EB740D" w:rsidRPr="002410EE" w:rsidTr="00E01B4F">
        <w:tc>
          <w:tcPr>
            <w:tcW w:w="817" w:type="dxa"/>
            <w:vAlign w:val="center"/>
          </w:tcPr>
          <w:p w:rsidR="00EB740D" w:rsidRPr="002410EE" w:rsidRDefault="00EB740D" w:rsidP="00EB740D">
            <w:pPr>
              <w:keepNext/>
              <w:jc w:val="left"/>
            </w:pPr>
            <w:r w:rsidRPr="002410EE">
              <w:rPr>
                <w:noProof/>
                <w:lang w:eastAsia="cs-CZ"/>
              </w:rPr>
              <w:drawing>
                <wp:inline distT="0" distB="0" distL="0" distR="0" wp14:anchorId="4EBC60D6" wp14:editId="2BDBD865">
                  <wp:extent cx="327928" cy="360000"/>
                  <wp:effectExtent l="0" t="0" r="0"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EB740D" w:rsidRPr="002410EE" w:rsidRDefault="00EB740D" w:rsidP="00EB740D">
            <w:pPr>
              <w:jc w:val="left"/>
            </w:pPr>
            <w:bookmarkStart w:id="179" w:name="_Ref58360459"/>
            <w:r>
              <w:t xml:space="preserve">Příloha č. </w:t>
            </w:r>
            <w:fldSimple w:instr=" SEQ Příloha_č. \* ARABIC ">
              <w:r w:rsidR="00816426">
                <w:rPr>
                  <w:noProof/>
                </w:rPr>
                <w:t>9</w:t>
              </w:r>
            </w:fldSimple>
            <w:bookmarkEnd w:id="179"/>
            <w:r>
              <w:t xml:space="preserve"> – Finanční analýza – varianta B (s uvažováním dotace ze Státního fondu životního prostředí ČR)</w:t>
            </w:r>
          </w:p>
        </w:tc>
      </w:tr>
      <w:tr w:rsidR="004E660E" w:rsidRPr="002410EE" w:rsidTr="00E01B4F">
        <w:tc>
          <w:tcPr>
            <w:tcW w:w="817" w:type="dxa"/>
            <w:vAlign w:val="center"/>
          </w:tcPr>
          <w:p w:rsidR="004E660E" w:rsidRPr="002410EE" w:rsidRDefault="004E660E" w:rsidP="006B3C7C">
            <w:pPr>
              <w:jc w:val="left"/>
            </w:pPr>
            <w:r w:rsidRPr="002410EE">
              <w:rPr>
                <w:noProof/>
                <w:lang w:eastAsia="cs-CZ"/>
              </w:rPr>
              <w:drawing>
                <wp:inline distT="0" distB="0" distL="0" distR="0" wp14:anchorId="2C096EB0" wp14:editId="00E8212B">
                  <wp:extent cx="327928" cy="3600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4E660E" w:rsidRPr="002410EE" w:rsidRDefault="004E660E" w:rsidP="006B3C7C">
            <w:pPr>
              <w:jc w:val="left"/>
            </w:pPr>
            <w:r w:rsidRPr="002410EE">
              <w:t xml:space="preserve">Příloha č. </w:t>
            </w:r>
            <w:fldSimple w:instr=" SEQ Příloha_č. \* ARABIC ">
              <w:r w:rsidR="00816426">
                <w:rPr>
                  <w:noProof/>
                </w:rPr>
                <w:t>10</w:t>
              </w:r>
            </w:fldSimple>
            <w:r w:rsidRPr="002410EE">
              <w:t xml:space="preserve"> – Půdorys 3S – stávající stav</w:t>
            </w:r>
          </w:p>
        </w:tc>
      </w:tr>
      <w:tr w:rsidR="004E660E" w:rsidRPr="002410EE" w:rsidTr="00E01B4F">
        <w:tc>
          <w:tcPr>
            <w:tcW w:w="817" w:type="dxa"/>
            <w:vAlign w:val="center"/>
          </w:tcPr>
          <w:p w:rsidR="004E660E" w:rsidRPr="002410EE" w:rsidRDefault="004E660E" w:rsidP="006B3C7C">
            <w:pPr>
              <w:jc w:val="left"/>
            </w:pPr>
            <w:r w:rsidRPr="002410EE">
              <w:rPr>
                <w:noProof/>
                <w:lang w:eastAsia="cs-CZ"/>
              </w:rPr>
              <w:drawing>
                <wp:inline distT="0" distB="0" distL="0" distR="0" wp14:anchorId="644D302E" wp14:editId="003E5272">
                  <wp:extent cx="327928" cy="36000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4E660E" w:rsidRPr="002410EE" w:rsidRDefault="004E660E" w:rsidP="006B3C7C">
            <w:pPr>
              <w:jc w:val="left"/>
            </w:pPr>
            <w:r w:rsidRPr="002410EE">
              <w:t xml:space="preserve">Příloha č. </w:t>
            </w:r>
            <w:fldSimple w:instr=" SEQ Příloha_č. \* ARABIC ">
              <w:r w:rsidR="00816426">
                <w:rPr>
                  <w:noProof/>
                </w:rPr>
                <w:t>11</w:t>
              </w:r>
            </w:fldSimple>
            <w:r w:rsidRPr="002410EE">
              <w:t xml:space="preserve"> – Půdorys 3S – nový stav – varianta B</w:t>
            </w:r>
          </w:p>
        </w:tc>
      </w:tr>
      <w:tr w:rsidR="004E660E" w:rsidRPr="002410EE" w:rsidTr="00E01B4F">
        <w:tc>
          <w:tcPr>
            <w:tcW w:w="817" w:type="dxa"/>
            <w:vAlign w:val="center"/>
          </w:tcPr>
          <w:p w:rsidR="004E660E" w:rsidRPr="002410EE" w:rsidRDefault="004E660E" w:rsidP="006B3C7C">
            <w:pPr>
              <w:jc w:val="left"/>
            </w:pPr>
            <w:r w:rsidRPr="002410EE">
              <w:rPr>
                <w:noProof/>
                <w:lang w:eastAsia="cs-CZ"/>
              </w:rPr>
              <w:drawing>
                <wp:inline distT="0" distB="0" distL="0" distR="0" wp14:anchorId="71ED9669" wp14:editId="42B0206C">
                  <wp:extent cx="327928" cy="36000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4E660E" w:rsidRPr="002410EE" w:rsidRDefault="004E660E" w:rsidP="006B3C7C">
            <w:pPr>
              <w:jc w:val="left"/>
            </w:pPr>
            <w:r w:rsidRPr="002410EE">
              <w:t xml:space="preserve">Příloha č. </w:t>
            </w:r>
            <w:fldSimple w:instr=" SEQ Příloha_č. \* ARABIC ">
              <w:r w:rsidR="00816426">
                <w:rPr>
                  <w:noProof/>
                </w:rPr>
                <w:t>12</w:t>
              </w:r>
            </w:fldSimple>
            <w:r w:rsidRPr="002410EE">
              <w:t xml:space="preserve"> – Technologie – schéma – stávající stav</w:t>
            </w:r>
          </w:p>
        </w:tc>
      </w:tr>
      <w:tr w:rsidR="004E660E" w:rsidRPr="002410EE" w:rsidTr="00E01B4F">
        <w:tc>
          <w:tcPr>
            <w:tcW w:w="817" w:type="dxa"/>
            <w:vAlign w:val="center"/>
          </w:tcPr>
          <w:p w:rsidR="004E660E" w:rsidRPr="002410EE" w:rsidRDefault="004E660E" w:rsidP="006B3C7C">
            <w:pPr>
              <w:jc w:val="left"/>
            </w:pPr>
            <w:r w:rsidRPr="002410EE">
              <w:rPr>
                <w:noProof/>
                <w:lang w:eastAsia="cs-CZ"/>
              </w:rPr>
              <w:drawing>
                <wp:inline distT="0" distB="0" distL="0" distR="0" wp14:anchorId="79D8B535" wp14:editId="09ACBAA1">
                  <wp:extent cx="327928" cy="360000"/>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4E660E" w:rsidRPr="002410EE" w:rsidRDefault="004E660E" w:rsidP="006B3C7C">
            <w:pPr>
              <w:jc w:val="left"/>
            </w:pPr>
            <w:bookmarkStart w:id="180" w:name="_Ref58248604"/>
            <w:r w:rsidRPr="002410EE">
              <w:t xml:space="preserve">Příloha č. </w:t>
            </w:r>
            <w:fldSimple w:instr=" SEQ Příloha_č. \* ARABIC ">
              <w:r w:rsidR="00816426">
                <w:rPr>
                  <w:noProof/>
                </w:rPr>
                <w:t>13</w:t>
              </w:r>
            </w:fldSimple>
            <w:bookmarkEnd w:id="180"/>
            <w:r w:rsidRPr="002410EE">
              <w:t xml:space="preserve"> – Technologie – schéma – nový stav – varianta B</w:t>
            </w:r>
          </w:p>
        </w:tc>
      </w:tr>
      <w:tr w:rsidR="003C1E27" w:rsidRPr="002410EE" w:rsidTr="00E01B4F">
        <w:tc>
          <w:tcPr>
            <w:tcW w:w="817" w:type="dxa"/>
            <w:vAlign w:val="center"/>
          </w:tcPr>
          <w:p w:rsidR="003C1E27" w:rsidRPr="002410EE" w:rsidRDefault="00620C73" w:rsidP="006B3C7C">
            <w:pPr>
              <w:jc w:val="left"/>
            </w:pPr>
            <w:r w:rsidRPr="002410EE">
              <w:rPr>
                <w:noProof/>
                <w:lang w:eastAsia="cs-CZ"/>
              </w:rPr>
              <w:drawing>
                <wp:inline distT="0" distB="0" distL="0" distR="0" wp14:anchorId="42805614" wp14:editId="507321D2">
                  <wp:extent cx="327928" cy="36000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3C1E27" w:rsidRPr="002410EE" w:rsidRDefault="00620C73" w:rsidP="006B3C7C">
            <w:pPr>
              <w:jc w:val="left"/>
            </w:pPr>
            <w:bookmarkStart w:id="181" w:name="_Ref56500856"/>
            <w:r w:rsidRPr="002410EE">
              <w:t xml:space="preserve">Příloha č. </w:t>
            </w:r>
            <w:fldSimple w:instr=" SEQ Příloha_č. \* ARABIC ">
              <w:r w:rsidR="00816426">
                <w:rPr>
                  <w:noProof/>
                </w:rPr>
                <w:t>14</w:t>
              </w:r>
            </w:fldSimple>
            <w:bookmarkEnd w:id="181"/>
            <w:r w:rsidR="004837EA" w:rsidRPr="002410EE">
              <w:t xml:space="preserve"> –</w:t>
            </w:r>
            <w:r w:rsidR="004E660E" w:rsidRPr="002410EE">
              <w:t xml:space="preserve"> </w:t>
            </w:r>
            <w:r w:rsidR="004837EA" w:rsidRPr="002410EE">
              <w:t>VZT schéma</w:t>
            </w:r>
            <w:r w:rsidR="004E660E" w:rsidRPr="002410EE">
              <w:t xml:space="preserve"> – stávající stav</w:t>
            </w:r>
          </w:p>
        </w:tc>
      </w:tr>
      <w:tr w:rsidR="003C1E27" w:rsidRPr="002410EE" w:rsidTr="00E01B4F">
        <w:tc>
          <w:tcPr>
            <w:tcW w:w="817" w:type="dxa"/>
            <w:vAlign w:val="center"/>
          </w:tcPr>
          <w:p w:rsidR="003C1E27" w:rsidRPr="002410EE" w:rsidRDefault="00620C73" w:rsidP="006B3C7C">
            <w:pPr>
              <w:jc w:val="left"/>
            </w:pPr>
            <w:r w:rsidRPr="002410EE">
              <w:rPr>
                <w:noProof/>
                <w:lang w:eastAsia="cs-CZ"/>
              </w:rPr>
              <w:drawing>
                <wp:inline distT="0" distB="0" distL="0" distR="0" wp14:anchorId="6BE545FC" wp14:editId="55BAC670">
                  <wp:extent cx="327928" cy="36000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3C1E27" w:rsidRPr="002410EE" w:rsidRDefault="00620C73" w:rsidP="006B3C7C">
            <w:pPr>
              <w:jc w:val="left"/>
            </w:pPr>
            <w:bookmarkStart w:id="182" w:name="_Ref56500866"/>
            <w:r w:rsidRPr="002410EE">
              <w:t xml:space="preserve">Příloha č. </w:t>
            </w:r>
            <w:fldSimple w:instr=" SEQ Příloha_č. \* ARABIC ">
              <w:r w:rsidR="00816426">
                <w:rPr>
                  <w:noProof/>
                </w:rPr>
                <w:t>15</w:t>
              </w:r>
            </w:fldSimple>
            <w:bookmarkEnd w:id="182"/>
            <w:r w:rsidRPr="002410EE">
              <w:t xml:space="preserve"> – </w:t>
            </w:r>
            <w:r w:rsidR="004E660E" w:rsidRPr="002410EE">
              <w:t>VZT schéma – nový stav – varianta B</w:t>
            </w:r>
          </w:p>
        </w:tc>
      </w:tr>
      <w:tr w:rsidR="004E660E" w:rsidRPr="002410EE" w:rsidTr="00E01B4F">
        <w:tc>
          <w:tcPr>
            <w:tcW w:w="817" w:type="dxa"/>
            <w:vAlign w:val="center"/>
          </w:tcPr>
          <w:p w:rsidR="004E660E" w:rsidRPr="002410EE" w:rsidRDefault="004E660E" w:rsidP="006B3C7C">
            <w:pPr>
              <w:jc w:val="left"/>
            </w:pPr>
            <w:r w:rsidRPr="002410EE">
              <w:rPr>
                <w:noProof/>
                <w:lang w:eastAsia="cs-CZ"/>
              </w:rPr>
              <w:drawing>
                <wp:inline distT="0" distB="0" distL="0" distR="0" wp14:anchorId="795B941F" wp14:editId="494E5682">
                  <wp:extent cx="327928" cy="36000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4E660E" w:rsidRPr="002410EE" w:rsidRDefault="004E660E" w:rsidP="006B3C7C">
            <w:pPr>
              <w:jc w:val="left"/>
            </w:pPr>
            <w:r w:rsidRPr="002410EE">
              <w:t xml:space="preserve">Příloha č. </w:t>
            </w:r>
            <w:fldSimple w:instr=" SEQ Příloha_č. \* ARABIC ">
              <w:r w:rsidR="00816426">
                <w:rPr>
                  <w:noProof/>
                </w:rPr>
                <w:t>16</w:t>
              </w:r>
            </w:fldSimple>
            <w:r w:rsidRPr="002410EE">
              <w:t xml:space="preserve"> – Půdorys 5P – stávající stav</w:t>
            </w:r>
          </w:p>
        </w:tc>
      </w:tr>
      <w:tr w:rsidR="004E660E" w:rsidRPr="002410EE" w:rsidTr="00E01B4F">
        <w:tc>
          <w:tcPr>
            <w:tcW w:w="817" w:type="dxa"/>
            <w:vAlign w:val="center"/>
          </w:tcPr>
          <w:p w:rsidR="004E660E" w:rsidRPr="002410EE" w:rsidRDefault="004E660E" w:rsidP="006B3C7C">
            <w:pPr>
              <w:jc w:val="left"/>
            </w:pPr>
            <w:r w:rsidRPr="002410EE">
              <w:rPr>
                <w:noProof/>
                <w:lang w:eastAsia="cs-CZ"/>
              </w:rPr>
              <w:drawing>
                <wp:inline distT="0" distB="0" distL="0" distR="0" wp14:anchorId="5D598CC5" wp14:editId="4F7A4FB6">
                  <wp:extent cx="327928" cy="36000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4E660E" w:rsidRPr="002410EE" w:rsidRDefault="004E660E" w:rsidP="006B3C7C">
            <w:pPr>
              <w:jc w:val="left"/>
            </w:pPr>
            <w:r w:rsidRPr="002410EE">
              <w:t xml:space="preserve">Příloha č. </w:t>
            </w:r>
            <w:fldSimple w:instr=" SEQ Příloha_č. \* ARABIC ">
              <w:r w:rsidR="00816426">
                <w:rPr>
                  <w:noProof/>
                </w:rPr>
                <w:t>17</w:t>
              </w:r>
            </w:fldSimple>
            <w:r w:rsidRPr="002410EE">
              <w:t xml:space="preserve"> – Půdorys 5P – nový stav – varianta B</w:t>
            </w:r>
          </w:p>
        </w:tc>
      </w:tr>
      <w:tr w:rsidR="003C1E27" w:rsidRPr="002410EE" w:rsidTr="00E01B4F">
        <w:tc>
          <w:tcPr>
            <w:tcW w:w="817" w:type="dxa"/>
            <w:vAlign w:val="center"/>
          </w:tcPr>
          <w:p w:rsidR="003C1E27" w:rsidRPr="002410EE" w:rsidRDefault="006D1F2D" w:rsidP="006B3C7C">
            <w:pPr>
              <w:jc w:val="left"/>
            </w:pPr>
            <w:r w:rsidRPr="002410EE">
              <w:rPr>
                <w:noProof/>
                <w:lang w:eastAsia="cs-CZ"/>
              </w:rPr>
              <w:drawing>
                <wp:inline distT="0" distB="0" distL="0" distR="0" wp14:anchorId="2250D368" wp14:editId="11CB11E7">
                  <wp:extent cx="327928" cy="36000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3C1E27" w:rsidRPr="002410EE" w:rsidRDefault="00320FC8" w:rsidP="006B3C7C">
            <w:pPr>
              <w:jc w:val="left"/>
            </w:pPr>
            <w:bookmarkStart w:id="183" w:name="_Ref56505502"/>
            <w:r w:rsidRPr="002410EE">
              <w:t xml:space="preserve">Příloha č. </w:t>
            </w:r>
            <w:fldSimple w:instr=" SEQ Příloha_č. \* ARABIC ">
              <w:r w:rsidR="00816426">
                <w:rPr>
                  <w:noProof/>
                </w:rPr>
                <w:t>18</w:t>
              </w:r>
            </w:fldSimple>
            <w:bookmarkEnd w:id="183"/>
            <w:r w:rsidRPr="002410EE">
              <w:t xml:space="preserve"> </w:t>
            </w:r>
            <w:r w:rsidR="006D1F2D" w:rsidRPr="002410EE">
              <w:t xml:space="preserve">– </w:t>
            </w:r>
            <w:r w:rsidR="001F18AD" w:rsidRPr="002410EE">
              <w:t>Transportní situace – kompresorové chlazení</w:t>
            </w:r>
            <w:r w:rsidR="006D1F2D" w:rsidRPr="002410EE">
              <w:t xml:space="preserve"> – varianta B</w:t>
            </w:r>
          </w:p>
        </w:tc>
      </w:tr>
      <w:tr w:rsidR="004E660E" w:rsidRPr="002410EE" w:rsidTr="00E01B4F">
        <w:tc>
          <w:tcPr>
            <w:tcW w:w="817" w:type="dxa"/>
            <w:vAlign w:val="center"/>
          </w:tcPr>
          <w:p w:rsidR="004E660E" w:rsidRPr="002410EE" w:rsidRDefault="004E660E" w:rsidP="006B3C7C">
            <w:pPr>
              <w:jc w:val="left"/>
            </w:pPr>
            <w:r w:rsidRPr="002410EE">
              <w:rPr>
                <w:noProof/>
                <w:lang w:eastAsia="cs-CZ"/>
              </w:rPr>
              <w:drawing>
                <wp:inline distT="0" distB="0" distL="0" distR="0" wp14:anchorId="367A8B95" wp14:editId="1649A39B">
                  <wp:extent cx="327928" cy="360000"/>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4E660E" w:rsidRPr="002410EE" w:rsidRDefault="004E660E" w:rsidP="006B3C7C">
            <w:pPr>
              <w:jc w:val="left"/>
            </w:pPr>
            <w:r w:rsidRPr="002410EE">
              <w:t xml:space="preserve">Příloha č. </w:t>
            </w:r>
            <w:fldSimple w:instr=" SEQ Příloha_č. \* ARABIC ">
              <w:r w:rsidR="00816426">
                <w:rPr>
                  <w:noProof/>
                </w:rPr>
                <w:t>19</w:t>
              </w:r>
            </w:fldSimple>
            <w:r w:rsidRPr="002410EE">
              <w:t xml:space="preserve"> </w:t>
            </w:r>
            <w:r w:rsidR="001F18AD" w:rsidRPr="002410EE">
              <w:t>– Schéma chlazení – varianta B</w:t>
            </w:r>
          </w:p>
        </w:tc>
      </w:tr>
      <w:tr w:rsidR="00713636" w:rsidRPr="002410EE" w:rsidTr="00E01B4F">
        <w:tc>
          <w:tcPr>
            <w:tcW w:w="817" w:type="dxa"/>
            <w:vAlign w:val="center"/>
          </w:tcPr>
          <w:p w:rsidR="00713636" w:rsidRPr="002410EE" w:rsidRDefault="00713636" w:rsidP="006B3C7C">
            <w:pPr>
              <w:jc w:val="left"/>
            </w:pPr>
            <w:r w:rsidRPr="002410EE">
              <w:rPr>
                <w:noProof/>
                <w:lang w:eastAsia="cs-CZ"/>
              </w:rPr>
              <w:drawing>
                <wp:inline distT="0" distB="0" distL="0" distR="0" wp14:anchorId="221627EF" wp14:editId="4706BF42">
                  <wp:extent cx="327928" cy="36000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713636" w:rsidRPr="002410EE" w:rsidRDefault="00713636" w:rsidP="006B3C7C">
            <w:bookmarkStart w:id="184" w:name="_Ref57817007"/>
            <w:r>
              <w:t xml:space="preserve">Příloha č. </w:t>
            </w:r>
            <w:fldSimple w:instr=" SEQ Příloha_č. \* ARABIC ">
              <w:r w:rsidR="00816426">
                <w:rPr>
                  <w:noProof/>
                </w:rPr>
                <w:t>20</w:t>
              </w:r>
            </w:fldSimple>
            <w:bookmarkEnd w:id="184"/>
            <w:r>
              <w:t xml:space="preserve"> – Dispozice strojovny chladu 6. NP – varianta B</w:t>
            </w:r>
          </w:p>
        </w:tc>
      </w:tr>
      <w:tr w:rsidR="007B3FA1" w:rsidRPr="002410EE" w:rsidTr="00E01B4F">
        <w:tc>
          <w:tcPr>
            <w:tcW w:w="817" w:type="dxa"/>
            <w:vAlign w:val="center"/>
          </w:tcPr>
          <w:p w:rsidR="007B3FA1" w:rsidRPr="002410EE" w:rsidRDefault="007B3FA1" w:rsidP="006B3C7C">
            <w:pPr>
              <w:jc w:val="left"/>
            </w:pPr>
            <w:r w:rsidRPr="002410EE">
              <w:rPr>
                <w:noProof/>
                <w:lang w:eastAsia="cs-CZ"/>
              </w:rPr>
              <w:drawing>
                <wp:inline distT="0" distB="0" distL="0" distR="0" wp14:anchorId="68E43319" wp14:editId="1589240C">
                  <wp:extent cx="327928" cy="360000"/>
                  <wp:effectExtent l="0" t="0" r="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7B3FA1" w:rsidRDefault="007B3FA1" w:rsidP="006B3C7C">
            <w:bookmarkStart w:id="185" w:name="_Ref58337999"/>
            <w:r>
              <w:t xml:space="preserve">Příloha č. </w:t>
            </w:r>
            <w:fldSimple w:instr=" SEQ Příloha_č. \* ARABIC ">
              <w:r w:rsidR="00816426">
                <w:rPr>
                  <w:noProof/>
                </w:rPr>
                <w:t>21</w:t>
              </w:r>
            </w:fldSimple>
            <w:bookmarkEnd w:id="185"/>
            <w:r>
              <w:t xml:space="preserve"> – Půdorys 5P – chlazené prostory a poloha stoupacích potrubí chladu</w:t>
            </w:r>
          </w:p>
        </w:tc>
      </w:tr>
      <w:tr w:rsidR="007B3FA1" w:rsidRPr="002410EE" w:rsidTr="00E01B4F">
        <w:tc>
          <w:tcPr>
            <w:tcW w:w="817" w:type="dxa"/>
            <w:vAlign w:val="center"/>
          </w:tcPr>
          <w:p w:rsidR="007B3FA1" w:rsidRPr="002410EE" w:rsidRDefault="007B3FA1" w:rsidP="006B3C7C">
            <w:pPr>
              <w:jc w:val="left"/>
            </w:pPr>
            <w:r w:rsidRPr="002410EE">
              <w:rPr>
                <w:noProof/>
                <w:lang w:eastAsia="cs-CZ"/>
              </w:rPr>
              <w:drawing>
                <wp:inline distT="0" distB="0" distL="0" distR="0" wp14:anchorId="49388B4B" wp14:editId="19449929">
                  <wp:extent cx="327928" cy="360000"/>
                  <wp:effectExtent l="0" t="0" r="0" b="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7B3FA1" w:rsidRDefault="007B3FA1" w:rsidP="006B3C7C">
            <w:r>
              <w:t xml:space="preserve">Příloha č. </w:t>
            </w:r>
            <w:fldSimple w:instr=" SEQ Příloha_č. \* ARABIC ">
              <w:r w:rsidR="00816426">
                <w:rPr>
                  <w:noProof/>
                </w:rPr>
                <w:t>22</w:t>
              </w:r>
            </w:fldSimple>
            <w:r>
              <w:t xml:space="preserve"> – Půdorys 4P – chlazené prostory a poloha stoupacích potrubí chladu</w:t>
            </w:r>
          </w:p>
        </w:tc>
      </w:tr>
      <w:tr w:rsidR="007B3FA1" w:rsidRPr="002410EE" w:rsidTr="00E01B4F">
        <w:tc>
          <w:tcPr>
            <w:tcW w:w="817" w:type="dxa"/>
            <w:vAlign w:val="center"/>
          </w:tcPr>
          <w:p w:rsidR="007B3FA1" w:rsidRPr="002410EE" w:rsidRDefault="007B3FA1" w:rsidP="006B3C7C">
            <w:pPr>
              <w:jc w:val="left"/>
            </w:pPr>
            <w:r w:rsidRPr="002410EE">
              <w:rPr>
                <w:noProof/>
                <w:lang w:eastAsia="cs-CZ"/>
              </w:rPr>
              <w:drawing>
                <wp:inline distT="0" distB="0" distL="0" distR="0" wp14:anchorId="77B4765C" wp14:editId="612D97AA">
                  <wp:extent cx="327928" cy="360000"/>
                  <wp:effectExtent l="0" t="0" r="0"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7B3FA1" w:rsidRDefault="007B3FA1" w:rsidP="006B3C7C">
            <w:r>
              <w:t xml:space="preserve">Příloha č. </w:t>
            </w:r>
            <w:fldSimple w:instr=" SEQ Příloha_č. \* ARABIC ">
              <w:r w:rsidR="00816426">
                <w:rPr>
                  <w:noProof/>
                </w:rPr>
                <w:t>23</w:t>
              </w:r>
            </w:fldSimple>
            <w:r>
              <w:t xml:space="preserve"> – Půdorys 3P – chlazené prostory a poloha stoupacích potrubí chladu</w:t>
            </w:r>
          </w:p>
        </w:tc>
      </w:tr>
      <w:tr w:rsidR="007B3FA1" w:rsidRPr="002410EE" w:rsidTr="00E01B4F">
        <w:tc>
          <w:tcPr>
            <w:tcW w:w="817" w:type="dxa"/>
            <w:vAlign w:val="center"/>
          </w:tcPr>
          <w:p w:rsidR="007B3FA1" w:rsidRPr="002410EE" w:rsidRDefault="007B3FA1" w:rsidP="006B3C7C">
            <w:pPr>
              <w:jc w:val="left"/>
            </w:pPr>
            <w:r w:rsidRPr="002410EE">
              <w:rPr>
                <w:noProof/>
                <w:lang w:eastAsia="cs-CZ"/>
              </w:rPr>
              <w:drawing>
                <wp:inline distT="0" distB="0" distL="0" distR="0" wp14:anchorId="2D20327F" wp14:editId="473DEE87">
                  <wp:extent cx="327928" cy="360000"/>
                  <wp:effectExtent l="0" t="0" r="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7B3FA1" w:rsidRDefault="007B3FA1" w:rsidP="006B3C7C">
            <w:r>
              <w:t xml:space="preserve">Příloha č. </w:t>
            </w:r>
            <w:fldSimple w:instr=" SEQ Příloha_č. \* ARABIC ">
              <w:r w:rsidR="00816426">
                <w:rPr>
                  <w:noProof/>
                </w:rPr>
                <w:t>24</w:t>
              </w:r>
            </w:fldSimple>
            <w:r>
              <w:t xml:space="preserve"> – Půdorys 2P – chlazené prostory a poloha stoupacích potrubí chladu</w:t>
            </w:r>
          </w:p>
        </w:tc>
      </w:tr>
      <w:tr w:rsidR="007B3FA1" w:rsidRPr="002410EE" w:rsidTr="00E01B4F">
        <w:tc>
          <w:tcPr>
            <w:tcW w:w="817" w:type="dxa"/>
            <w:vAlign w:val="center"/>
          </w:tcPr>
          <w:p w:rsidR="007B3FA1" w:rsidRPr="002410EE" w:rsidRDefault="007B3FA1" w:rsidP="006B3C7C">
            <w:pPr>
              <w:jc w:val="left"/>
            </w:pPr>
            <w:r w:rsidRPr="002410EE">
              <w:rPr>
                <w:noProof/>
                <w:lang w:eastAsia="cs-CZ"/>
              </w:rPr>
              <w:drawing>
                <wp:inline distT="0" distB="0" distL="0" distR="0" wp14:anchorId="2DF49A52" wp14:editId="1BD0F723">
                  <wp:extent cx="327928" cy="360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7B3FA1" w:rsidRDefault="007B3FA1" w:rsidP="006B3C7C">
            <w:r>
              <w:t xml:space="preserve">Příloha č. </w:t>
            </w:r>
            <w:fldSimple w:instr=" SEQ Příloha_č. \* ARABIC ">
              <w:r w:rsidR="00816426">
                <w:rPr>
                  <w:noProof/>
                </w:rPr>
                <w:t>25</w:t>
              </w:r>
            </w:fldSimple>
            <w:r>
              <w:t xml:space="preserve"> – Půdorys 1P – chlazené prostory a poloha stoupacích potrubí chladu</w:t>
            </w:r>
          </w:p>
        </w:tc>
      </w:tr>
      <w:tr w:rsidR="007B3FA1" w:rsidRPr="002410EE" w:rsidTr="00E01B4F">
        <w:tc>
          <w:tcPr>
            <w:tcW w:w="817" w:type="dxa"/>
            <w:vAlign w:val="center"/>
          </w:tcPr>
          <w:p w:rsidR="007B3FA1" w:rsidRPr="002410EE" w:rsidRDefault="007B3FA1" w:rsidP="006B3C7C">
            <w:pPr>
              <w:jc w:val="left"/>
            </w:pPr>
            <w:r w:rsidRPr="002410EE">
              <w:rPr>
                <w:noProof/>
                <w:lang w:eastAsia="cs-CZ"/>
              </w:rPr>
              <w:drawing>
                <wp:inline distT="0" distB="0" distL="0" distR="0" wp14:anchorId="3AA5A7CC" wp14:editId="00230BCA">
                  <wp:extent cx="327928" cy="360000"/>
                  <wp:effectExtent l="0" t="0" r="0"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7B3FA1" w:rsidRDefault="007B3FA1" w:rsidP="006B3C7C">
            <w:r>
              <w:t xml:space="preserve">Příloha č. </w:t>
            </w:r>
            <w:fldSimple w:instr=" SEQ Příloha_č. \* ARABIC ">
              <w:r w:rsidR="00816426">
                <w:rPr>
                  <w:noProof/>
                </w:rPr>
                <w:t>26</w:t>
              </w:r>
            </w:fldSimple>
            <w:r>
              <w:t xml:space="preserve"> – Půdorys ME – chlazené prostory a poloha stoupacích potrubí chladu</w:t>
            </w:r>
          </w:p>
        </w:tc>
      </w:tr>
      <w:tr w:rsidR="006B3C7C" w:rsidRPr="002410EE" w:rsidTr="00E01B4F">
        <w:tc>
          <w:tcPr>
            <w:tcW w:w="817" w:type="dxa"/>
            <w:vAlign w:val="center"/>
          </w:tcPr>
          <w:p w:rsidR="006B3C7C" w:rsidRPr="002410EE" w:rsidRDefault="006B3C7C" w:rsidP="006B3C7C">
            <w:pPr>
              <w:keepNext/>
              <w:jc w:val="left"/>
            </w:pPr>
            <w:r w:rsidRPr="002410EE">
              <w:rPr>
                <w:noProof/>
                <w:lang w:eastAsia="cs-CZ"/>
              </w:rPr>
              <w:drawing>
                <wp:inline distT="0" distB="0" distL="0" distR="0" wp14:anchorId="5B87ED38" wp14:editId="08A456F7">
                  <wp:extent cx="327928" cy="36000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6B3C7C" w:rsidRDefault="006B3C7C" w:rsidP="006B3C7C">
            <w:r>
              <w:t xml:space="preserve">Příloha č. </w:t>
            </w:r>
            <w:fldSimple w:instr=" SEQ Příloha_č. \* ARABIC ">
              <w:r w:rsidR="00816426">
                <w:rPr>
                  <w:noProof/>
                </w:rPr>
                <w:t>27</w:t>
              </w:r>
            </w:fldSimple>
            <w:r>
              <w:t xml:space="preserve"> – Půdorys VP – chlazené prostory a poloha stoupacích potrubí chladu</w:t>
            </w:r>
          </w:p>
        </w:tc>
      </w:tr>
      <w:tr w:rsidR="006B3C7C" w:rsidRPr="002410EE" w:rsidTr="00E01B4F">
        <w:tc>
          <w:tcPr>
            <w:tcW w:w="817" w:type="dxa"/>
            <w:vAlign w:val="center"/>
          </w:tcPr>
          <w:p w:rsidR="006B3C7C" w:rsidRPr="002410EE" w:rsidRDefault="006B3C7C" w:rsidP="006B3C7C">
            <w:pPr>
              <w:keepNext/>
              <w:jc w:val="left"/>
            </w:pPr>
            <w:r w:rsidRPr="002410EE">
              <w:rPr>
                <w:noProof/>
                <w:lang w:eastAsia="cs-CZ"/>
              </w:rPr>
              <w:drawing>
                <wp:inline distT="0" distB="0" distL="0" distR="0" wp14:anchorId="23A8E686" wp14:editId="21A05D47">
                  <wp:extent cx="327928" cy="360000"/>
                  <wp:effectExtent l="0" t="0" r="0" b="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6B3C7C" w:rsidRDefault="006B3C7C" w:rsidP="006B3C7C">
            <w:bookmarkStart w:id="186" w:name="_Ref58338019"/>
            <w:r>
              <w:t xml:space="preserve">Příloha č. </w:t>
            </w:r>
            <w:fldSimple w:instr=" SEQ Příloha_č. \* ARABIC ">
              <w:r w:rsidR="00816426">
                <w:rPr>
                  <w:noProof/>
                </w:rPr>
                <w:t>28</w:t>
              </w:r>
            </w:fldSimple>
            <w:bookmarkEnd w:id="186"/>
            <w:r>
              <w:t xml:space="preserve"> – Půdorys PR – chlazené prostory a poloha stoupacích potrubí chladu</w:t>
            </w:r>
          </w:p>
        </w:tc>
      </w:tr>
      <w:tr w:rsidR="002410EE" w:rsidTr="00E01B4F">
        <w:tc>
          <w:tcPr>
            <w:tcW w:w="817" w:type="dxa"/>
            <w:vAlign w:val="center"/>
          </w:tcPr>
          <w:p w:rsidR="002410EE" w:rsidRPr="002410EE" w:rsidRDefault="002410EE" w:rsidP="006B3C7C">
            <w:pPr>
              <w:jc w:val="left"/>
            </w:pPr>
            <w:r w:rsidRPr="002410EE">
              <w:rPr>
                <w:noProof/>
                <w:lang w:eastAsia="cs-CZ"/>
              </w:rPr>
              <w:drawing>
                <wp:inline distT="0" distB="0" distL="0" distR="0" wp14:anchorId="202721EB" wp14:editId="184D05E5">
                  <wp:extent cx="327928" cy="360000"/>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2410EE" w:rsidRDefault="002410EE" w:rsidP="00EB740D">
            <w:pPr>
              <w:jc w:val="left"/>
            </w:pPr>
            <w:r w:rsidRPr="002410EE">
              <w:t xml:space="preserve">Příloha č. </w:t>
            </w:r>
            <w:fldSimple w:instr=" SEQ Příloha_č. \* ARABIC ">
              <w:r w:rsidR="00816426">
                <w:rPr>
                  <w:noProof/>
                </w:rPr>
                <w:t>29</w:t>
              </w:r>
            </w:fldSimple>
            <w:r w:rsidRPr="002410EE">
              <w:t xml:space="preserve"> – Technický popis kogenerační jednotky</w:t>
            </w:r>
          </w:p>
        </w:tc>
      </w:tr>
      <w:tr w:rsidR="00E01B4F" w:rsidTr="00E01B4F">
        <w:tc>
          <w:tcPr>
            <w:tcW w:w="817" w:type="dxa"/>
            <w:vAlign w:val="center"/>
          </w:tcPr>
          <w:p w:rsidR="00E01B4F" w:rsidRPr="002410EE" w:rsidRDefault="00E01B4F" w:rsidP="00E01B4F">
            <w:pPr>
              <w:keepNext/>
              <w:jc w:val="left"/>
            </w:pPr>
            <w:r w:rsidRPr="002410EE">
              <w:rPr>
                <w:noProof/>
                <w:lang w:eastAsia="cs-CZ"/>
              </w:rPr>
              <w:drawing>
                <wp:inline distT="0" distB="0" distL="0" distR="0" wp14:anchorId="5DE7EDA5" wp14:editId="2594A969">
                  <wp:extent cx="327928" cy="36000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KONA_PDF.png"/>
                          <pic:cNvPicPr/>
                        </pic:nvPicPr>
                        <pic:blipFill rotWithShape="1">
                          <a:blip r:embed="rId63" cstate="print">
                            <a:extLst>
                              <a:ext uri="{28A0092B-C50C-407E-A947-70E740481C1C}">
                                <a14:useLocalDpi xmlns:a14="http://schemas.microsoft.com/office/drawing/2010/main" val="0"/>
                              </a:ext>
                            </a:extLst>
                          </a:blip>
                          <a:srcRect b="17879"/>
                          <a:stretch/>
                        </pic:blipFill>
                        <pic:spPr bwMode="auto">
                          <a:xfrm>
                            <a:off x="0" y="0"/>
                            <a:ext cx="327928" cy="360000"/>
                          </a:xfrm>
                          <a:prstGeom prst="rect">
                            <a:avLst/>
                          </a:prstGeom>
                          <a:ln>
                            <a:noFill/>
                          </a:ln>
                          <a:extLst>
                            <a:ext uri="{53640926-AAD7-44D8-BBD7-CCE9431645EC}">
                              <a14:shadowObscured xmlns:a14="http://schemas.microsoft.com/office/drawing/2010/main"/>
                            </a:ext>
                          </a:extLst>
                        </pic:spPr>
                      </pic:pic>
                    </a:graphicData>
                  </a:graphic>
                </wp:inline>
              </w:drawing>
            </w:r>
          </w:p>
        </w:tc>
        <w:tc>
          <w:tcPr>
            <w:tcW w:w="8395" w:type="dxa"/>
            <w:vAlign w:val="center"/>
          </w:tcPr>
          <w:p w:rsidR="00E01B4F" w:rsidRPr="002410EE" w:rsidRDefault="00E01B4F" w:rsidP="00E01B4F">
            <w:bookmarkStart w:id="187" w:name="_Ref58836121"/>
            <w:r>
              <w:t xml:space="preserve">Příloha č. </w:t>
            </w:r>
            <w:fldSimple w:instr=" SEQ Příloha_č. \* ARABIC ">
              <w:r w:rsidR="00816426">
                <w:rPr>
                  <w:noProof/>
                </w:rPr>
                <w:t>30</w:t>
              </w:r>
            </w:fldSimple>
            <w:bookmarkEnd w:id="187"/>
            <w:r>
              <w:t xml:space="preserve"> – Seznam zkoumaných kogeneračních jednotek</w:t>
            </w:r>
          </w:p>
        </w:tc>
      </w:tr>
    </w:tbl>
    <w:p w:rsidR="00AA08AD" w:rsidRDefault="00AA08AD" w:rsidP="001F18AD"/>
    <w:sectPr w:rsidR="00AA08AD" w:rsidSect="00F91C8B">
      <w:pgSz w:w="11906" w:h="16838"/>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26D5" w:rsidRDefault="008626D5" w:rsidP="001D32D7">
      <w:pPr>
        <w:spacing w:before="0" w:after="0" w:line="240" w:lineRule="auto"/>
      </w:pPr>
      <w:r>
        <w:separator/>
      </w:r>
    </w:p>
  </w:endnote>
  <w:endnote w:type="continuationSeparator" w:id="0">
    <w:p w:rsidR="008626D5" w:rsidRDefault="008626D5" w:rsidP="001D32D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Arial"/>
      </w:rPr>
      <w:id w:val="-1141958353"/>
      <w:docPartObj>
        <w:docPartGallery w:val="Page Numbers (Bottom of Page)"/>
        <w:docPartUnique/>
      </w:docPartObj>
    </w:sdtPr>
    <w:sdtContent>
      <w:p w:rsidR="008626D5" w:rsidRPr="00A87510" w:rsidRDefault="008626D5" w:rsidP="001F196F">
        <w:pPr>
          <w:pStyle w:val="Zpat"/>
          <w:pBdr>
            <w:top w:val="single" w:sz="18" w:space="1" w:color="auto"/>
          </w:pBdr>
          <w:jc w:val="right"/>
          <w:rPr>
            <w:rFonts w:cs="Arial"/>
          </w:rPr>
        </w:pPr>
        <w:r w:rsidRPr="00A87510">
          <w:rPr>
            <w:rFonts w:cs="Arial"/>
          </w:rPr>
          <w:t xml:space="preserve">Stránka </w:t>
        </w:r>
        <w:r w:rsidRPr="00A87510">
          <w:rPr>
            <w:rFonts w:cs="Arial"/>
          </w:rPr>
          <w:fldChar w:fldCharType="begin"/>
        </w:r>
        <w:r w:rsidRPr="00A87510">
          <w:rPr>
            <w:rFonts w:cs="Arial"/>
          </w:rPr>
          <w:instrText>PAGE   \* MERGEFORMAT</w:instrText>
        </w:r>
        <w:r w:rsidRPr="00A87510">
          <w:rPr>
            <w:rFonts w:cs="Arial"/>
          </w:rPr>
          <w:fldChar w:fldCharType="separate"/>
        </w:r>
        <w:r w:rsidR="00816426">
          <w:rPr>
            <w:rFonts w:cs="Arial"/>
            <w:noProof/>
          </w:rPr>
          <w:t>4</w:t>
        </w:r>
        <w:r w:rsidRPr="00A87510">
          <w:rPr>
            <w:rFonts w:cs="Arial"/>
          </w:rPr>
          <w:fldChar w:fldCharType="end"/>
        </w:r>
        <w:r>
          <w:rPr>
            <w:rFonts w:cs="Arial"/>
          </w:rPr>
          <w:t xml:space="preserve"> z </w:t>
        </w:r>
        <w:fldSimple w:instr=" NUMPAGES   \* MERGEFORMAT ">
          <w:r w:rsidR="00816426" w:rsidRPr="00816426">
            <w:rPr>
              <w:rFonts w:cs="Arial"/>
              <w:noProof/>
            </w:rPr>
            <w:t>80</w:t>
          </w:r>
        </w:fldSimple>
      </w:p>
    </w:sdtContent>
  </w:sdt>
  <w:p w:rsidR="008626D5" w:rsidRDefault="008626D5">
    <w:pPr>
      <w:pStyle w:val="Zpa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Arial"/>
      </w:rPr>
      <w:id w:val="-597178384"/>
      <w:docPartObj>
        <w:docPartGallery w:val="Page Numbers (Bottom of Page)"/>
        <w:docPartUnique/>
      </w:docPartObj>
    </w:sdtPr>
    <w:sdtContent>
      <w:p w:rsidR="008626D5" w:rsidRPr="00A87510" w:rsidRDefault="008626D5" w:rsidP="001E6700">
        <w:pPr>
          <w:pStyle w:val="Zpat"/>
          <w:pBdr>
            <w:top w:val="single" w:sz="18" w:space="1" w:color="auto"/>
          </w:pBdr>
          <w:jc w:val="right"/>
          <w:rPr>
            <w:rFonts w:cs="Arial"/>
          </w:rPr>
        </w:pPr>
        <w:r w:rsidRPr="00A87510">
          <w:rPr>
            <w:rFonts w:cs="Arial"/>
          </w:rPr>
          <w:t xml:space="preserve">Stránka </w:t>
        </w:r>
        <w:r w:rsidRPr="00A87510">
          <w:rPr>
            <w:rFonts w:cs="Arial"/>
          </w:rPr>
          <w:fldChar w:fldCharType="begin"/>
        </w:r>
        <w:r w:rsidRPr="00A87510">
          <w:rPr>
            <w:rFonts w:cs="Arial"/>
          </w:rPr>
          <w:instrText>PAGE   \* MERGEFORMAT</w:instrText>
        </w:r>
        <w:r w:rsidRPr="00A87510">
          <w:rPr>
            <w:rFonts w:cs="Arial"/>
          </w:rPr>
          <w:fldChar w:fldCharType="separate"/>
        </w:r>
        <w:r w:rsidR="00816426">
          <w:rPr>
            <w:rFonts w:cs="Arial"/>
            <w:noProof/>
          </w:rPr>
          <w:t>6</w:t>
        </w:r>
        <w:r w:rsidRPr="00A87510">
          <w:rPr>
            <w:rFonts w:cs="Arial"/>
          </w:rPr>
          <w:fldChar w:fldCharType="end"/>
        </w:r>
        <w:r>
          <w:rPr>
            <w:rFonts w:cs="Arial"/>
          </w:rPr>
          <w:t xml:space="preserve"> z </w:t>
        </w:r>
        <w:fldSimple w:instr=" NUMPAGES   \* MERGEFORMAT ">
          <w:r w:rsidR="00816426" w:rsidRPr="00816426">
            <w:rPr>
              <w:rFonts w:cs="Arial"/>
              <w:noProof/>
            </w:rPr>
            <w:t>80</w:t>
          </w:r>
        </w:fldSimple>
      </w:p>
    </w:sdtContent>
  </w:sdt>
  <w:p w:rsidR="008626D5" w:rsidRDefault="008626D5">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26D5" w:rsidRDefault="008626D5" w:rsidP="001D32D7">
      <w:pPr>
        <w:spacing w:before="0" w:after="0" w:line="240" w:lineRule="auto"/>
      </w:pPr>
      <w:r>
        <w:separator/>
      </w:r>
    </w:p>
  </w:footnote>
  <w:footnote w:type="continuationSeparator" w:id="0">
    <w:p w:rsidR="008626D5" w:rsidRDefault="008626D5" w:rsidP="001D32D7">
      <w:pPr>
        <w:spacing w:before="0" w:after="0" w:line="240" w:lineRule="auto"/>
      </w:pPr>
      <w:r>
        <w:continuationSeparator/>
      </w:r>
    </w:p>
  </w:footnote>
  <w:footnote w:id="1">
    <w:p w:rsidR="008626D5" w:rsidRDefault="008626D5">
      <w:pPr>
        <w:pStyle w:val="Textpoznpodarou"/>
      </w:pPr>
      <w:r>
        <w:rPr>
          <w:rStyle w:val="Znakapoznpodarou"/>
        </w:rPr>
        <w:footnoteRef/>
      </w:r>
      <w:r>
        <w:t xml:space="preserve"> voda/glykol – glykolová strana je reprezentována 34% směsí propylenglykolu</w:t>
      </w:r>
    </w:p>
  </w:footnote>
  <w:footnote w:id="2">
    <w:p w:rsidR="008626D5" w:rsidRDefault="008626D5">
      <w:pPr>
        <w:pStyle w:val="Textpoznpodarou"/>
      </w:pPr>
      <w:r>
        <w:rPr>
          <w:rStyle w:val="Znakapoznpodarou"/>
        </w:rPr>
        <w:footnoteRef/>
      </w:r>
      <w:r>
        <w:t xml:space="preserve"> Největší jednotkou, kterou by bylo možné dopravit do prostoru kotelny, je jednotka o rozměrech 2,1 × 1,55 × 2,1 m, která poskytuje 113 kW chladicího výkonu. </w:t>
      </w:r>
    </w:p>
  </w:footnote>
  <w:footnote w:id="3">
    <w:p w:rsidR="008626D5" w:rsidRDefault="008626D5" w:rsidP="00B85E93">
      <w:pPr>
        <w:pStyle w:val="Textpoznpodarou"/>
      </w:pPr>
      <w:r>
        <w:rPr>
          <w:rStyle w:val="Znakapoznpodarou"/>
        </w:rPr>
        <w:footnoteRef/>
      </w:r>
      <w:r>
        <w:t xml:space="preserve"> Není uvažován provoz přes víkendy.</w:t>
      </w:r>
    </w:p>
  </w:footnote>
  <w:footnote w:id="4">
    <w:p w:rsidR="008626D5" w:rsidRDefault="008626D5" w:rsidP="00D75051">
      <w:pPr>
        <w:pStyle w:val="Textpoznpodarou"/>
      </w:pPr>
      <w:r>
        <w:rPr>
          <w:rStyle w:val="Znakapoznpodarou"/>
        </w:rPr>
        <w:footnoteRef/>
      </w:r>
      <w:r>
        <w:t xml:space="preserve"> Čerpadlo chladicí kapaliny, ventilátor, nabíječka baterie, řídicí trafo</w:t>
      </w:r>
    </w:p>
  </w:footnote>
  <w:footnote w:id="5">
    <w:p w:rsidR="008626D5" w:rsidRDefault="008626D5">
      <w:pPr>
        <w:pStyle w:val="Textpoznpodarou"/>
      </w:pPr>
      <w:r>
        <w:rPr>
          <w:rStyle w:val="Znakapoznpodarou"/>
        </w:rPr>
        <w:footnoteRef/>
      </w:r>
      <w:r>
        <w:t xml:space="preserve"> STOP kritérium – Nesplnění daného kritéria znemožňuje realizaci dané varianty.</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26D5" w:rsidRPr="002D1F8E" w:rsidRDefault="008626D5" w:rsidP="001972D1">
    <w:pPr>
      <w:pStyle w:val="Zhlav"/>
      <w:pBdr>
        <w:bottom w:val="single" w:sz="18" w:space="1" w:color="auto"/>
      </w:pBdr>
      <w:spacing w:after="120"/>
      <w:jc w:val="center"/>
      <w:rPr>
        <w:b/>
        <w:sz w:val="24"/>
        <w:szCs w:val="24"/>
      </w:rPr>
    </w:pPr>
    <w:r>
      <w:rPr>
        <w:b/>
        <w:sz w:val="24"/>
        <w:szCs w:val="24"/>
      </w:rPr>
      <w:t>Optimalizace vytápění a možnosti dochlazení budovy ústředí ČNB</w:t>
    </w:r>
  </w:p>
  <w:p w:rsidR="008626D5" w:rsidRDefault="008626D5" w:rsidP="001972D1">
    <w:pPr>
      <w:pStyle w:val="Zhlav"/>
      <w:pBdr>
        <w:bottom w:val="single" w:sz="18" w:space="1" w:color="auto"/>
      </w:pBdr>
      <w:spacing w:after="120"/>
      <w:jc w:val="center"/>
    </w:pPr>
    <w:r>
      <w:t>Dokumentace studie proveditelnosti</w:t>
    </w:r>
  </w:p>
  <w:p w:rsidR="008626D5" w:rsidRPr="00AD3F17" w:rsidRDefault="008626D5" w:rsidP="00126044">
    <w:pPr>
      <w:pStyle w:val="Zhlav"/>
      <w:pBdr>
        <w:bottom w:val="single" w:sz="18" w:space="1" w:color="auto"/>
      </w:pBdr>
      <w:spacing w:after="120"/>
      <w:jc w:val="right"/>
      <w:rPr>
        <w:sz w:val="20"/>
        <w:szCs w:val="20"/>
      </w:rPr>
    </w:pPr>
    <w:r>
      <w:rPr>
        <w:sz w:val="20"/>
        <w:szCs w:val="20"/>
      </w:rPr>
      <w:t>Ing. Jaroslav Stupka</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360A"/>
    <w:multiLevelType w:val="hybridMultilevel"/>
    <w:tmpl w:val="C568A6E8"/>
    <w:lvl w:ilvl="0" w:tplc="04050001">
      <w:start w:val="1"/>
      <w:numFmt w:val="bullet"/>
      <w:lvlText w:val=""/>
      <w:lvlJc w:val="left"/>
      <w:pPr>
        <w:ind w:left="1636" w:hanging="360"/>
      </w:pPr>
      <w:rPr>
        <w:rFonts w:ascii="Symbol" w:hAnsi="Symbol" w:hint="default"/>
      </w:rPr>
    </w:lvl>
    <w:lvl w:ilvl="1" w:tplc="04050003" w:tentative="1">
      <w:start w:val="1"/>
      <w:numFmt w:val="bullet"/>
      <w:lvlText w:val="o"/>
      <w:lvlJc w:val="left"/>
      <w:pPr>
        <w:ind w:left="2356" w:hanging="360"/>
      </w:pPr>
      <w:rPr>
        <w:rFonts w:ascii="Courier New" w:hAnsi="Courier New" w:cs="Courier New" w:hint="default"/>
      </w:rPr>
    </w:lvl>
    <w:lvl w:ilvl="2" w:tplc="04050005" w:tentative="1">
      <w:start w:val="1"/>
      <w:numFmt w:val="bullet"/>
      <w:lvlText w:val=""/>
      <w:lvlJc w:val="left"/>
      <w:pPr>
        <w:ind w:left="3076" w:hanging="360"/>
      </w:pPr>
      <w:rPr>
        <w:rFonts w:ascii="Wingdings" w:hAnsi="Wingdings" w:hint="default"/>
      </w:rPr>
    </w:lvl>
    <w:lvl w:ilvl="3" w:tplc="04050001" w:tentative="1">
      <w:start w:val="1"/>
      <w:numFmt w:val="bullet"/>
      <w:lvlText w:val=""/>
      <w:lvlJc w:val="left"/>
      <w:pPr>
        <w:ind w:left="3796" w:hanging="360"/>
      </w:pPr>
      <w:rPr>
        <w:rFonts w:ascii="Symbol" w:hAnsi="Symbol" w:hint="default"/>
      </w:rPr>
    </w:lvl>
    <w:lvl w:ilvl="4" w:tplc="04050003" w:tentative="1">
      <w:start w:val="1"/>
      <w:numFmt w:val="bullet"/>
      <w:lvlText w:val="o"/>
      <w:lvlJc w:val="left"/>
      <w:pPr>
        <w:ind w:left="4516" w:hanging="360"/>
      </w:pPr>
      <w:rPr>
        <w:rFonts w:ascii="Courier New" w:hAnsi="Courier New" w:cs="Courier New" w:hint="default"/>
      </w:rPr>
    </w:lvl>
    <w:lvl w:ilvl="5" w:tplc="04050005" w:tentative="1">
      <w:start w:val="1"/>
      <w:numFmt w:val="bullet"/>
      <w:lvlText w:val=""/>
      <w:lvlJc w:val="left"/>
      <w:pPr>
        <w:ind w:left="5236" w:hanging="360"/>
      </w:pPr>
      <w:rPr>
        <w:rFonts w:ascii="Wingdings" w:hAnsi="Wingdings" w:hint="default"/>
      </w:rPr>
    </w:lvl>
    <w:lvl w:ilvl="6" w:tplc="04050001" w:tentative="1">
      <w:start w:val="1"/>
      <w:numFmt w:val="bullet"/>
      <w:lvlText w:val=""/>
      <w:lvlJc w:val="left"/>
      <w:pPr>
        <w:ind w:left="5956" w:hanging="360"/>
      </w:pPr>
      <w:rPr>
        <w:rFonts w:ascii="Symbol" w:hAnsi="Symbol" w:hint="default"/>
      </w:rPr>
    </w:lvl>
    <w:lvl w:ilvl="7" w:tplc="04050003" w:tentative="1">
      <w:start w:val="1"/>
      <w:numFmt w:val="bullet"/>
      <w:lvlText w:val="o"/>
      <w:lvlJc w:val="left"/>
      <w:pPr>
        <w:ind w:left="6676" w:hanging="360"/>
      </w:pPr>
      <w:rPr>
        <w:rFonts w:ascii="Courier New" w:hAnsi="Courier New" w:cs="Courier New" w:hint="default"/>
      </w:rPr>
    </w:lvl>
    <w:lvl w:ilvl="8" w:tplc="04050005" w:tentative="1">
      <w:start w:val="1"/>
      <w:numFmt w:val="bullet"/>
      <w:lvlText w:val=""/>
      <w:lvlJc w:val="left"/>
      <w:pPr>
        <w:ind w:left="7396" w:hanging="360"/>
      </w:pPr>
      <w:rPr>
        <w:rFonts w:ascii="Wingdings" w:hAnsi="Wingdings" w:hint="default"/>
      </w:rPr>
    </w:lvl>
  </w:abstractNum>
  <w:abstractNum w:abstractNumId="1" w15:restartNumberingAfterBreak="0">
    <w:nsid w:val="029425E1"/>
    <w:multiLevelType w:val="hybridMultilevel"/>
    <w:tmpl w:val="4906F6D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6BB5DAA"/>
    <w:multiLevelType w:val="hybridMultilevel"/>
    <w:tmpl w:val="A1D037A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0CF1292"/>
    <w:multiLevelType w:val="hybridMultilevel"/>
    <w:tmpl w:val="5D04F4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3C402B4"/>
    <w:multiLevelType w:val="hybridMultilevel"/>
    <w:tmpl w:val="46DCD9CA"/>
    <w:lvl w:ilvl="0" w:tplc="8A429A9E">
      <w:start w:val="1"/>
      <w:numFmt w:val="bullet"/>
      <w:pStyle w:val="Odrka1"/>
      <w:lvlText w:val="-"/>
      <w:lvlJc w:val="left"/>
      <w:pPr>
        <w:ind w:left="720" w:hanging="360"/>
      </w:pPr>
      <w:rPr>
        <w:rFonts w:ascii="Arial" w:eastAsia="Times New Roman" w:hAnsi="Arial" w:cs="Arial" w:hint="default"/>
        <w:color w:val="auto"/>
        <w:sz w:val="24"/>
        <w:szCs w:val="24"/>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1DF2837"/>
    <w:multiLevelType w:val="hybridMultilevel"/>
    <w:tmpl w:val="718C9A30"/>
    <w:lvl w:ilvl="0" w:tplc="CE14710C">
      <w:start w:val="1"/>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268275A"/>
    <w:multiLevelType w:val="hybridMultilevel"/>
    <w:tmpl w:val="5C0E1A4C"/>
    <w:lvl w:ilvl="0" w:tplc="04050015">
      <w:start w:val="1"/>
      <w:numFmt w:val="upperLetter"/>
      <w:lvlText w:val="%1."/>
      <w:lvlJc w:val="left"/>
      <w:pPr>
        <w:ind w:left="720" w:hanging="360"/>
      </w:pPr>
    </w:lvl>
    <w:lvl w:ilvl="1" w:tplc="04050019">
      <w:start w:val="1"/>
      <w:numFmt w:val="lowerLetter"/>
      <w:lvlText w:val="%2."/>
      <w:lvlJc w:val="left"/>
      <w:pPr>
        <w:ind w:left="1440" w:hanging="360"/>
      </w:pPr>
    </w:lvl>
    <w:lvl w:ilvl="2" w:tplc="72A8F53C">
      <w:numFmt w:val="bullet"/>
      <w:lvlText w:val="-"/>
      <w:lvlJc w:val="left"/>
      <w:pPr>
        <w:ind w:left="1456" w:hanging="180"/>
      </w:pPr>
      <w:rPr>
        <w:rFonts w:ascii="Arial" w:eastAsiaTheme="minorHAnsi" w:hAnsi="Arial" w:cs="Arial" w:hint="default"/>
      </w:r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27D3D03"/>
    <w:multiLevelType w:val="hybridMultilevel"/>
    <w:tmpl w:val="20C480D8"/>
    <w:lvl w:ilvl="0" w:tplc="04050015">
      <w:start w:val="1"/>
      <w:numFmt w:val="upperLetter"/>
      <w:lvlText w:val="%1."/>
      <w:lvlJc w:val="left"/>
      <w:pPr>
        <w:ind w:left="720" w:hanging="360"/>
      </w:pPr>
    </w:lvl>
    <w:lvl w:ilvl="1" w:tplc="C6D6B332">
      <w:start w:val="1"/>
      <w:numFmt w:val="decimal"/>
      <w:lvlText w:val="C.%2"/>
      <w:lvlJc w:val="left"/>
      <w:pPr>
        <w:ind w:left="1440" w:hanging="360"/>
      </w:pPr>
      <w:rPr>
        <w:rFonts w:hint="default"/>
      </w:r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7745A3D"/>
    <w:multiLevelType w:val="hybridMultilevel"/>
    <w:tmpl w:val="432E8D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B0069C7"/>
    <w:multiLevelType w:val="hybridMultilevel"/>
    <w:tmpl w:val="86D40E54"/>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D19551F"/>
    <w:multiLevelType w:val="multilevel"/>
    <w:tmpl w:val="3544F338"/>
    <w:lvl w:ilvl="0">
      <w:start w:val="1"/>
      <w:numFmt w:val="decimal"/>
      <w:pStyle w:val="Nadpis1"/>
      <w:lvlText w:val="%1"/>
      <w:lvlJc w:val="left"/>
      <w:pPr>
        <w:ind w:left="0" w:firstLine="0"/>
      </w:pPr>
      <w:rPr>
        <w:rFonts w:hint="default"/>
      </w:rPr>
    </w:lvl>
    <w:lvl w:ilvl="1">
      <w:start w:val="1"/>
      <w:numFmt w:val="decimal"/>
      <w:pStyle w:val="Nadpis2"/>
      <w:lvlText w:val="%1.%2"/>
      <w:lvlJc w:val="left"/>
      <w:pPr>
        <w:ind w:left="0" w:firstLine="0"/>
      </w:pPr>
      <w:rPr>
        <w:rFonts w:hint="default"/>
      </w:rPr>
    </w:lvl>
    <w:lvl w:ilvl="2">
      <w:start w:val="1"/>
      <w:numFmt w:val="decimal"/>
      <w:pStyle w:val="Nadpis3"/>
      <w:lvlText w:val="%1.%2.%3"/>
      <w:lvlJc w:val="left"/>
      <w:pPr>
        <w:ind w:left="0" w:firstLine="0"/>
      </w:pPr>
      <w:rPr>
        <w:rFonts w:hint="default"/>
      </w:rPr>
    </w:lvl>
    <w:lvl w:ilvl="3">
      <w:start w:val="1"/>
      <w:numFmt w:val="decimal"/>
      <w:pStyle w:val="Nadpis4"/>
      <w:lvlText w:val="%1.%2.%3.%4"/>
      <w:lvlJc w:val="left"/>
      <w:pPr>
        <w:ind w:left="0" w:firstLine="0"/>
      </w:pPr>
      <w:rPr>
        <w:rFonts w:hint="default"/>
      </w:rPr>
    </w:lvl>
    <w:lvl w:ilvl="4">
      <w:start w:val="1"/>
      <w:numFmt w:val="decimal"/>
      <w:pStyle w:val="Nadpis5"/>
      <w:lvlText w:val="%1.%2.%3.%4.%5"/>
      <w:lvlJc w:val="left"/>
      <w:pPr>
        <w:ind w:left="1800" w:hanging="360"/>
      </w:pPr>
      <w:rPr>
        <w:rFonts w:hint="default"/>
      </w:rPr>
    </w:lvl>
    <w:lvl w:ilvl="5">
      <w:start w:val="1"/>
      <w:numFmt w:val="decimal"/>
      <w:pStyle w:val="Nadpis6"/>
      <w:lvlText w:val="%1.%2.%3.%4.%5.%6"/>
      <w:lvlJc w:val="left"/>
      <w:pPr>
        <w:ind w:left="2160" w:hanging="360"/>
      </w:pPr>
      <w:rPr>
        <w:rFonts w:hint="default"/>
      </w:rPr>
    </w:lvl>
    <w:lvl w:ilvl="6">
      <w:start w:val="1"/>
      <w:numFmt w:val="decimal"/>
      <w:lvlText w:val="%7."/>
      <w:lvlJc w:val="left"/>
      <w:pPr>
        <w:ind w:left="1069"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D221F38"/>
    <w:multiLevelType w:val="hybridMultilevel"/>
    <w:tmpl w:val="9D986D1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32E3106"/>
    <w:multiLevelType w:val="hybridMultilevel"/>
    <w:tmpl w:val="034CEAB6"/>
    <w:lvl w:ilvl="0" w:tplc="72A8F53C">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66213FF"/>
    <w:multiLevelType w:val="hybridMultilevel"/>
    <w:tmpl w:val="C8307A3C"/>
    <w:lvl w:ilvl="0" w:tplc="51D86436">
      <w:start w:val="1"/>
      <w:numFmt w:val="decimal"/>
      <w:lvlText w:val="D.1.%1"/>
      <w:lvlJc w:val="left"/>
      <w:pPr>
        <w:ind w:left="144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3743325A"/>
    <w:multiLevelType w:val="hybridMultilevel"/>
    <w:tmpl w:val="7780F2D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BEC0874"/>
    <w:multiLevelType w:val="hybridMultilevel"/>
    <w:tmpl w:val="E2382D7C"/>
    <w:lvl w:ilvl="0" w:tplc="72A8F53C">
      <w:numFmt w:val="bullet"/>
      <w:lvlText w:val="-"/>
      <w:lvlJc w:val="left"/>
      <w:pPr>
        <w:ind w:left="1636" w:hanging="360"/>
      </w:pPr>
      <w:rPr>
        <w:rFonts w:ascii="Arial" w:eastAsiaTheme="minorHAnsi" w:hAnsi="Arial" w:cs="Arial" w:hint="default"/>
      </w:rPr>
    </w:lvl>
    <w:lvl w:ilvl="1" w:tplc="04050003" w:tentative="1">
      <w:start w:val="1"/>
      <w:numFmt w:val="bullet"/>
      <w:lvlText w:val="o"/>
      <w:lvlJc w:val="left"/>
      <w:pPr>
        <w:ind w:left="2356" w:hanging="360"/>
      </w:pPr>
      <w:rPr>
        <w:rFonts w:ascii="Courier New" w:hAnsi="Courier New" w:cs="Courier New" w:hint="default"/>
      </w:rPr>
    </w:lvl>
    <w:lvl w:ilvl="2" w:tplc="04050005" w:tentative="1">
      <w:start w:val="1"/>
      <w:numFmt w:val="bullet"/>
      <w:lvlText w:val=""/>
      <w:lvlJc w:val="left"/>
      <w:pPr>
        <w:ind w:left="3076" w:hanging="360"/>
      </w:pPr>
      <w:rPr>
        <w:rFonts w:ascii="Wingdings" w:hAnsi="Wingdings" w:hint="default"/>
      </w:rPr>
    </w:lvl>
    <w:lvl w:ilvl="3" w:tplc="04050001" w:tentative="1">
      <w:start w:val="1"/>
      <w:numFmt w:val="bullet"/>
      <w:lvlText w:val=""/>
      <w:lvlJc w:val="left"/>
      <w:pPr>
        <w:ind w:left="3796" w:hanging="360"/>
      </w:pPr>
      <w:rPr>
        <w:rFonts w:ascii="Symbol" w:hAnsi="Symbol" w:hint="default"/>
      </w:rPr>
    </w:lvl>
    <w:lvl w:ilvl="4" w:tplc="04050003" w:tentative="1">
      <w:start w:val="1"/>
      <w:numFmt w:val="bullet"/>
      <w:lvlText w:val="o"/>
      <w:lvlJc w:val="left"/>
      <w:pPr>
        <w:ind w:left="4516" w:hanging="360"/>
      </w:pPr>
      <w:rPr>
        <w:rFonts w:ascii="Courier New" w:hAnsi="Courier New" w:cs="Courier New" w:hint="default"/>
      </w:rPr>
    </w:lvl>
    <w:lvl w:ilvl="5" w:tplc="04050005" w:tentative="1">
      <w:start w:val="1"/>
      <w:numFmt w:val="bullet"/>
      <w:lvlText w:val=""/>
      <w:lvlJc w:val="left"/>
      <w:pPr>
        <w:ind w:left="5236" w:hanging="360"/>
      </w:pPr>
      <w:rPr>
        <w:rFonts w:ascii="Wingdings" w:hAnsi="Wingdings" w:hint="default"/>
      </w:rPr>
    </w:lvl>
    <w:lvl w:ilvl="6" w:tplc="04050001" w:tentative="1">
      <w:start w:val="1"/>
      <w:numFmt w:val="bullet"/>
      <w:lvlText w:val=""/>
      <w:lvlJc w:val="left"/>
      <w:pPr>
        <w:ind w:left="5956" w:hanging="360"/>
      </w:pPr>
      <w:rPr>
        <w:rFonts w:ascii="Symbol" w:hAnsi="Symbol" w:hint="default"/>
      </w:rPr>
    </w:lvl>
    <w:lvl w:ilvl="7" w:tplc="04050003" w:tentative="1">
      <w:start w:val="1"/>
      <w:numFmt w:val="bullet"/>
      <w:lvlText w:val="o"/>
      <w:lvlJc w:val="left"/>
      <w:pPr>
        <w:ind w:left="6676" w:hanging="360"/>
      </w:pPr>
      <w:rPr>
        <w:rFonts w:ascii="Courier New" w:hAnsi="Courier New" w:cs="Courier New" w:hint="default"/>
      </w:rPr>
    </w:lvl>
    <w:lvl w:ilvl="8" w:tplc="04050005" w:tentative="1">
      <w:start w:val="1"/>
      <w:numFmt w:val="bullet"/>
      <w:lvlText w:val=""/>
      <w:lvlJc w:val="left"/>
      <w:pPr>
        <w:ind w:left="7396" w:hanging="360"/>
      </w:pPr>
      <w:rPr>
        <w:rFonts w:ascii="Wingdings" w:hAnsi="Wingdings" w:hint="default"/>
      </w:rPr>
    </w:lvl>
  </w:abstractNum>
  <w:abstractNum w:abstractNumId="16" w15:restartNumberingAfterBreak="0">
    <w:nsid w:val="3CBC366C"/>
    <w:multiLevelType w:val="hybridMultilevel"/>
    <w:tmpl w:val="12769A9C"/>
    <w:lvl w:ilvl="0" w:tplc="C6845CAE">
      <w:start w:val="1"/>
      <w:numFmt w:val="bullet"/>
      <w:lvlText w:val="-"/>
      <w:lvlJc w:val="left"/>
      <w:pPr>
        <w:ind w:left="1068" w:hanging="360"/>
      </w:pPr>
      <w:rPr>
        <w:rFonts w:ascii="Arial" w:eastAsia="Times New Roman" w:hAnsi="Arial" w:cs="Aria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7" w15:restartNumberingAfterBreak="0">
    <w:nsid w:val="43677F84"/>
    <w:multiLevelType w:val="hybridMultilevel"/>
    <w:tmpl w:val="82DCBB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6DB0F3D"/>
    <w:multiLevelType w:val="hybridMultilevel"/>
    <w:tmpl w:val="8988B6A4"/>
    <w:lvl w:ilvl="0" w:tplc="72A8F53C">
      <w:numFmt w:val="bullet"/>
      <w:lvlText w:val="-"/>
      <w:lvlJc w:val="left"/>
      <w:pPr>
        <w:ind w:left="720" w:hanging="360"/>
      </w:pPr>
      <w:rPr>
        <w:rFonts w:ascii="Arial" w:eastAsiaTheme="minorHAnsi"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50372160"/>
    <w:multiLevelType w:val="hybridMultilevel"/>
    <w:tmpl w:val="008C35C6"/>
    <w:lvl w:ilvl="0" w:tplc="04050015">
      <w:start w:val="1"/>
      <w:numFmt w:val="upperLetter"/>
      <w:lvlText w:val="%1."/>
      <w:lvlJc w:val="left"/>
      <w:pPr>
        <w:ind w:left="720" w:hanging="360"/>
      </w:pPr>
    </w:lvl>
    <w:lvl w:ilvl="1" w:tplc="51D86436">
      <w:start w:val="1"/>
      <w:numFmt w:val="decimal"/>
      <w:lvlText w:val="D.1.%2"/>
      <w:lvlJc w:val="left"/>
      <w:pPr>
        <w:ind w:left="1440" w:hanging="360"/>
      </w:pPr>
      <w:rPr>
        <w:rFonts w:hint="default"/>
      </w:r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50F874F8"/>
    <w:multiLevelType w:val="hybridMultilevel"/>
    <w:tmpl w:val="5B10CF84"/>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1" w15:restartNumberingAfterBreak="0">
    <w:nsid w:val="511675F6"/>
    <w:multiLevelType w:val="hybridMultilevel"/>
    <w:tmpl w:val="A1D037A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52C87AEC"/>
    <w:multiLevelType w:val="hybridMultilevel"/>
    <w:tmpl w:val="C95AFACC"/>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EED62B1"/>
    <w:multiLevelType w:val="hybridMultilevel"/>
    <w:tmpl w:val="DE061F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16D586E"/>
    <w:multiLevelType w:val="hybridMultilevel"/>
    <w:tmpl w:val="78F6E2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633832BB"/>
    <w:multiLevelType w:val="hybridMultilevel"/>
    <w:tmpl w:val="50148C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DF05282"/>
    <w:multiLevelType w:val="hybridMultilevel"/>
    <w:tmpl w:val="5C0E1A4C"/>
    <w:lvl w:ilvl="0" w:tplc="04050015">
      <w:start w:val="1"/>
      <w:numFmt w:val="upperLetter"/>
      <w:lvlText w:val="%1."/>
      <w:lvlJc w:val="left"/>
      <w:pPr>
        <w:ind w:left="720" w:hanging="360"/>
      </w:pPr>
    </w:lvl>
    <w:lvl w:ilvl="1" w:tplc="04050019">
      <w:start w:val="1"/>
      <w:numFmt w:val="lowerLetter"/>
      <w:lvlText w:val="%2."/>
      <w:lvlJc w:val="left"/>
      <w:pPr>
        <w:ind w:left="1440" w:hanging="360"/>
      </w:pPr>
    </w:lvl>
    <w:lvl w:ilvl="2" w:tplc="72A8F53C">
      <w:numFmt w:val="bullet"/>
      <w:lvlText w:val="-"/>
      <w:lvlJc w:val="left"/>
      <w:pPr>
        <w:ind w:left="1456" w:hanging="180"/>
      </w:pPr>
      <w:rPr>
        <w:rFonts w:ascii="Arial" w:eastAsiaTheme="minorHAnsi" w:hAnsi="Arial" w:cs="Arial" w:hint="default"/>
      </w:r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6E812525"/>
    <w:multiLevelType w:val="hybridMultilevel"/>
    <w:tmpl w:val="75C8EFC2"/>
    <w:lvl w:ilvl="0" w:tplc="F73696BC">
      <w:start w:val="1"/>
      <w:numFmt w:val="decimal"/>
      <w:lvlText w:val="D.%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8" w15:restartNumberingAfterBreak="0">
    <w:nsid w:val="72784433"/>
    <w:multiLevelType w:val="multilevel"/>
    <w:tmpl w:val="BE320B7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29" w15:restartNumberingAfterBreak="0">
    <w:nsid w:val="73AD7995"/>
    <w:multiLevelType w:val="multilevel"/>
    <w:tmpl w:val="46D03150"/>
    <w:lvl w:ilvl="0">
      <w:start w:val="1"/>
      <w:numFmt w:val="decimal"/>
      <w:lvlText w:val="%1"/>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5714461"/>
    <w:multiLevelType w:val="hybridMultilevel"/>
    <w:tmpl w:val="FD58AE5C"/>
    <w:lvl w:ilvl="0" w:tplc="72A8F53C">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7ED44CCC"/>
    <w:multiLevelType w:val="hybridMultilevel"/>
    <w:tmpl w:val="7F34936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FE25FAB"/>
    <w:multiLevelType w:val="hybridMultilevel"/>
    <w:tmpl w:val="CCAC5822"/>
    <w:lvl w:ilvl="0" w:tplc="C6D6B332">
      <w:start w:val="1"/>
      <w:numFmt w:val="decimal"/>
      <w:lvlText w:val="C.%1"/>
      <w:lvlJc w:val="left"/>
      <w:pPr>
        <w:ind w:left="144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28"/>
  </w:num>
  <w:num w:numId="2">
    <w:abstractNumId w:val="20"/>
  </w:num>
  <w:num w:numId="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29"/>
  </w:num>
  <w:num w:numId="8">
    <w:abstractNumId w:val="24"/>
  </w:num>
  <w:num w:numId="9">
    <w:abstractNumId w:val="16"/>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4"/>
  </w:num>
  <w:num w:numId="13">
    <w:abstractNumId w:val="10"/>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num>
  <w:num w:numId="18">
    <w:abstractNumId w:val="8"/>
  </w:num>
  <w:num w:numId="19">
    <w:abstractNumId w:val="14"/>
  </w:num>
  <w:num w:numId="20">
    <w:abstractNumId w:val="11"/>
  </w:num>
  <w:num w:numId="21">
    <w:abstractNumId w:val="21"/>
  </w:num>
  <w:num w:numId="22">
    <w:abstractNumId w:val="1"/>
  </w:num>
  <w:num w:numId="23">
    <w:abstractNumId w:val="25"/>
  </w:num>
  <w:num w:numId="24">
    <w:abstractNumId w:val="18"/>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num>
  <w:num w:numId="27">
    <w:abstractNumId w:val="2"/>
  </w:num>
  <w:num w:numId="28">
    <w:abstractNumId w:val="12"/>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num>
  <w:num w:numId="31">
    <w:abstractNumId w:val="0"/>
  </w:num>
  <w:num w:numId="32">
    <w:abstractNumId w:val="17"/>
  </w:num>
  <w:num w:numId="33">
    <w:abstractNumId w:val="22"/>
  </w:num>
  <w:num w:numId="34">
    <w:abstractNumId w:val="9"/>
  </w:num>
  <w:num w:numId="35">
    <w:abstractNumId w:val="6"/>
  </w:num>
  <w:num w:numId="36">
    <w:abstractNumId w:val="7"/>
  </w:num>
  <w:num w:numId="37">
    <w:abstractNumId w:val="19"/>
  </w:num>
  <w:num w:numId="38">
    <w:abstractNumId w:val="27"/>
  </w:num>
  <w:num w:numId="39">
    <w:abstractNumId w:val="15"/>
  </w:num>
  <w:num w:numId="40">
    <w:abstractNumId w:val="3"/>
  </w:num>
  <w:num w:numId="41">
    <w:abstractNumId w:val="30"/>
  </w:num>
  <w:num w:numId="42">
    <w:abstractNumId w:val="26"/>
  </w:num>
  <w:num w:numId="43">
    <w:abstractNumId w:val="32"/>
  </w:num>
  <w:num w:numId="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82945"/>
  </w:hdrShapeDefaults>
  <w:footnotePr>
    <w:footnote w:id="-1"/>
    <w:footnote w:id="0"/>
  </w:footnotePr>
  <w:endnotePr>
    <w:endnote w:id="-1"/>
    <w:endnote w:id="0"/>
  </w:endnotePr>
  <w:compat>
    <w:compatSetting w:name="compatibilityMode" w:uri="http://schemas.microsoft.com/office/word" w:val="12"/>
  </w:compat>
  <w:rsids>
    <w:rsidRoot w:val="001D32D7"/>
    <w:rsid w:val="0000046F"/>
    <w:rsid w:val="000009EE"/>
    <w:rsid w:val="00001D8F"/>
    <w:rsid w:val="00002500"/>
    <w:rsid w:val="000026A6"/>
    <w:rsid w:val="000028F2"/>
    <w:rsid w:val="000111FE"/>
    <w:rsid w:val="00013D0B"/>
    <w:rsid w:val="00020CAF"/>
    <w:rsid w:val="0003115D"/>
    <w:rsid w:val="00031924"/>
    <w:rsid w:val="00034942"/>
    <w:rsid w:val="00036290"/>
    <w:rsid w:val="0004021C"/>
    <w:rsid w:val="00041772"/>
    <w:rsid w:val="00042C5A"/>
    <w:rsid w:val="00051EF3"/>
    <w:rsid w:val="000552F5"/>
    <w:rsid w:val="000558F3"/>
    <w:rsid w:val="00055D7E"/>
    <w:rsid w:val="0006071D"/>
    <w:rsid w:val="000615D6"/>
    <w:rsid w:val="00062F79"/>
    <w:rsid w:val="000676F9"/>
    <w:rsid w:val="00072111"/>
    <w:rsid w:val="0007335C"/>
    <w:rsid w:val="00074B6B"/>
    <w:rsid w:val="0007522E"/>
    <w:rsid w:val="00077180"/>
    <w:rsid w:val="000836AE"/>
    <w:rsid w:val="0008376D"/>
    <w:rsid w:val="00084B32"/>
    <w:rsid w:val="00085676"/>
    <w:rsid w:val="0009422C"/>
    <w:rsid w:val="000A11A7"/>
    <w:rsid w:val="000B01E7"/>
    <w:rsid w:val="000B365E"/>
    <w:rsid w:val="000B7D65"/>
    <w:rsid w:val="000C6540"/>
    <w:rsid w:val="000C72D7"/>
    <w:rsid w:val="000D7466"/>
    <w:rsid w:val="000D78C5"/>
    <w:rsid w:val="000E2506"/>
    <w:rsid w:val="000E4BD0"/>
    <w:rsid w:val="0010022A"/>
    <w:rsid w:val="00103739"/>
    <w:rsid w:val="00103BD1"/>
    <w:rsid w:val="00110047"/>
    <w:rsid w:val="0011209F"/>
    <w:rsid w:val="00112637"/>
    <w:rsid w:val="0011358A"/>
    <w:rsid w:val="001163D9"/>
    <w:rsid w:val="00126044"/>
    <w:rsid w:val="001279C1"/>
    <w:rsid w:val="00131B9D"/>
    <w:rsid w:val="001327F4"/>
    <w:rsid w:val="001342C4"/>
    <w:rsid w:val="0013470C"/>
    <w:rsid w:val="00134822"/>
    <w:rsid w:val="00144A55"/>
    <w:rsid w:val="00147525"/>
    <w:rsid w:val="00154E38"/>
    <w:rsid w:val="0015635B"/>
    <w:rsid w:val="00156368"/>
    <w:rsid w:val="00163AC4"/>
    <w:rsid w:val="00163D8D"/>
    <w:rsid w:val="001720C5"/>
    <w:rsid w:val="00174921"/>
    <w:rsid w:val="0018107B"/>
    <w:rsid w:val="00182178"/>
    <w:rsid w:val="001853D0"/>
    <w:rsid w:val="00197243"/>
    <w:rsid w:val="001972D1"/>
    <w:rsid w:val="001A28A9"/>
    <w:rsid w:val="001A7140"/>
    <w:rsid w:val="001B1A39"/>
    <w:rsid w:val="001B5764"/>
    <w:rsid w:val="001C0DE2"/>
    <w:rsid w:val="001C6430"/>
    <w:rsid w:val="001C7601"/>
    <w:rsid w:val="001C7782"/>
    <w:rsid w:val="001D32D7"/>
    <w:rsid w:val="001D428E"/>
    <w:rsid w:val="001D703A"/>
    <w:rsid w:val="001E3F10"/>
    <w:rsid w:val="001E4BFA"/>
    <w:rsid w:val="001E6700"/>
    <w:rsid w:val="001F0560"/>
    <w:rsid w:val="001F18AD"/>
    <w:rsid w:val="001F196F"/>
    <w:rsid w:val="001F7A88"/>
    <w:rsid w:val="00200DCC"/>
    <w:rsid w:val="00207E83"/>
    <w:rsid w:val="0021555B"/>
    <w:rsid w:val="00216873"/>
    <w:rsid w:val="002204A0"/>
    <w:rsid w:val="00220A40"/>
    <w:rsid w:val="00223D38"/>
    <w:rsid w:val="00227BDC"/>
    <w:rsid w:val="00231271"/>
    <w:rsid w:val="002328C1"/>
    <w:rsid w:val="00232F07"/>
    <w:rsid w:val="00235052"/>
    <w:rsid w:val="00236306"/>
    <w:rsid w:val="00236C55"/>
    <w:rsid w:val="002410EE"/>
    <w:rsid w:val="00247702"/>
    <w:rsid w:val="0025497A"/>
    <w:rsid w:val="00255412"/>
    <w:rsid w:val="00256367"/>
    <w:rsid w:val="00256804"/>
    <w:rsid w:val="002573DC"/>
    <w:rsid w:val="00264626"/>
    <w:rsid w:val="0026589C"/>
    <w:rsid w:val="00271930"/>
    <w:rsid w:val="00273358"/>
    <w:rsid w:val="0027428D"/>
    <w:rsid w:val="00275DA1"/>
    <w:rsid w:val="00275E28"/>
    <w:rsid w:val="00280374"/>
    <w:rsid w:val="00282ED3"/>
    <w:rsid w:val="00284D23"/>
    <w:rsid w:val="00292087"/>
    <w:rsid w:val="002A75A0"/>
    <w:rsid w:val="002B059A"/>
    <w:rsid w:val="002B1137"/>
    <w:rsid w:val="002B435F"/>
    <w:rsid w:val="002C09D6"/>
    <w:rsid w:val="002C684E"/>
    <w:rsid w:val="002D1F8E"/>
    <w:rsid w:val="002D2992"/>
    <w:rsid w:val="002D38D9"/>
    <w:rsid w:val="002D6D2E"/>
    <w:rsid w:val="002D766E"/>
    <w:rsid w:val="002E1B09"/>
    <w:rsid w:val="002F0915"/>
    <w:rsid w:val="002F1D1E"/>
    <w:rsid w:val="002F402D"/>
    <w:rsid w:val="002F70DA"/>
    <w:rsid w:val="00304EE4"/>
    <w:rsid w:val="00304FF1"/>
    <w:rsid w:val="00305422"/>
    <w:rsid w:val="00305B52"/>
    <w:rsid w:val="0031502D"/>
    <w:rsid w:val="00320FC8"/>
    <w:rsid w:val="00325741"/>
    <w:rsid w:val="00326F0C"/>
    <w:rsid w:val="0033575B"/>
    <w:rsid w:val="00336D4C"/>
    <w:rsid w:val="00340D17"/>
    <w:rsid w:val="00342EB7"/>
    <w:rsid w:val="0034613D"/>
    <w:rsid w:val="00351EB2"/>
    <w:rsid w:val="00356CAF"/>
    <w:rsid w:val="00363A37"/>
    <w:rsid w:val="00365B12"/>
    <w:rsid w:val="00367853"/>
    <w:rsid w:val="00370BDE"/>
    <w:rsid w:val="0037260B"/>
    <w:rsid w:val="00374A8B"/>
    <w:rsid w:val="00375AD3"/>
    <w:rsid w:val="00376FB3"/>
    <w:rsid w:val="00377098"/>
    <w:rsid w:val="0038346C"/>
    <w:rsid w:val="00385843"/>
    <w:rsid w:val="00385F8B"/>
    <w:rsid w:val="003A0374"/>
    <w:rsid w:val="003A75AF"/>
    <w:rsid w:val="003B6EB4"/>
    <w:rsid w:val="003C1E27"/>
    <w:rsid w:val="003C35C0"/>
    <w:rsid w:val="003C4334"/>
    <w:rsid w:val="003D1CD9"/>
    <w:rsid w:val="003D40DA"/>
    <w:rsid w:val="003D509E"/>
    <w:rsid w:val="003D6977"/>
    <w:rsid w:val="003E1B60"/>
    <w:rsid w:val="003F1E5B"/>
    <w:rsid w:val="003F31DD"/>
    <w:rsid w:val="003F7DF9"/>
    <w:rsid w:val="00400E85"/>
    <w:rsid w:val="00401DEF"/>
    <w:rsid w:val="00402561"/>
    <w:rsid w:val="00404611"/>
    <w:rsid w:val="004049DD"/>
    <w:rsid w:val="00404AF2"/>
    <w:rsid w:val="00412C0C"/>
    <w:rsid w:val="004206E3"/>
    <w:rsid w:val="00423D79"/>
    <w:rsid w:val="00423DAB"/>
    <w:rsid w:val="004301CB"/>
    <w:rsid w:val="00432C8C"/>
    <w:rsid w:val="0043530E"/>
    <w:rsid w:val="0043544A"/>
    <w:rsid w:val="00441735"/>
    <w:rsid w:val="00444C8B"/>
    <w:rsid w:val="00455C29"/>
    <w:rsid w:val="004572C1"/>
    <w:rsid w:val="0046160E"/>
    <w:rsid w:val="004640E2"/>
    <w:rsid w:val="004666AD"/>
    <w:rsid w:val="00471FCB"/>
    <w:rsid w:val="0047227F"/>
    <w:rsid w:val="004740CB"/>
    <w:rsid w:val="004752E0"/>
    <w:rsid w:val="00475D18"/>
    <w:rsid w:val="004768EF"/>
    <w:rsid w:val="00477A65"/>
    <w:rsid w:val="004837EA"/>
    <w:rsid w:val="004868ED"/>
    <w:rsid w:val="00486974"/>
    <w:rsid w:val="0048776B"/>
    <w:rsid w:val="004879B0"/>
    <w:rsid w:val="00491D73"/>
    <w:rsid w:val="00492D91"/>
    <w:rsid w:val="004A0A3B"/>
    <w:rsid w:val="004A3599"/>
    <w:rsid w:val="004A4821"/>
    <w:rsid w:val="004B3320"/>
    <w:rsid w:val="004B61D7"/>
    <w:rsid w:val="004C23D6"/>
    <w:rsid w:val="004C5910"/>
    <w:rsid w:val="004D0E8E"/>
    <w:rsid w:val="004D124C"/>
    <w:rsid w:val="004E22A4"/>
    <w:rsid w:val="004E3373"/>
    <w:rsid w:val="004E56BA"/>
    <w:rsid w:val="004E660E"/>
    <w:rsid w:val="004F61B3"/>
    <w:rsid w:val="004F656A"/>
    <w:rsid w:val="004F7BD8"/>
    <w:rsid w:val="00501AA9"/>
    <w:rsid w:val="00511836"/>
    <w:rsid w:val="00515133"/>
    <w:rsid w:val="0052405A"/>
    <w:rsid w:val="00525AA7"/>
    <w:rsid w:val="005269E3"/>
    <w:rsid w:val="005347D0"/>
    <w:rsid w:val="00544E51"/>
    <w:rsid w:val="00546050"/>
    <w:rsid w:val="005513DD"/>
    <w:rsid w:val="005513FB"/>
    <w:rsid w:val="0055260F"/>
    <w:rsid w:val="00553CAA"/>
    <w:rsid w:val="0055469C"/>
    <w:rsid w:val="00554F0C"/>
    <w:rsid w:val="005557AB"/>
    <w:rsid w:val="00556E9E"/>
    <w:rsid w:val="005657BE"/>
    <w:rsid w:val="00565D2E"/>
    <w:rsid w:val="00566338"/>
    <w:rsid w:val="005666B6"/>
    <w:rsid w:val="005718EC"/>
    <w:rsid w:val="0057264C"/>
    <w:rsid w:val="00573A99"/>
    <w:rsid w:val="00573F53"/>
    <w:rsid w:val="00577978"/>
    <w:rsid w:val="00580DB2"/>
    <w:rsid w:val="00580E96"/>
    <w:rsid w:val="00583452"/>
    <w:rsid w:val="00585A41"/>
    <w:rsid w:val="005911CD"/>
    <w:rsid w:val="005920CF"/>
    <w:rsid w:val="00593146"/>
    <w:rsid w:val="00594F2C"/>
    <w:rsid w:val="005A5729"/>
    <w:rsid w:val="005A5A64"/>
    <w:rsid w:val="005B4FD0"/>
    <w:rsid w:val="005B713C"/>
    <w:rsid w:val="005C4514"/>
    <w:rsid w:val="005C55D6"/>
    <w:rsid w:val="005C5F0E"/>
    <w:rsid w:val="005D2E0C"/>
    <w:rsid w:val="005E017D"/>
    <w:rsid w:val="005E0DD6"/>
    <w:rsid w:val="005E78FF"/>
    <w:rsid w:val="005F43BB"/>
    <w:rsid w:val="00601CA1"/>
    <w:rsid w:val="006033D7"/>
    <w:rsid w:val="00604CFB"/>
    <w:rsid w:val="00605A74"/>
    <w:rsid w:val="00610E89"/>
    <w:rsid w:val="006152B4"/>
    <w:rsid w:val="00620C73"/>
    <w:rsid w:val="00630E32"/>
    <w:rsid w:val="006319E7"/>
    <w:rsid w:val="006330B2"/>
    <w:rsid w:val="00642A19"/>
    <w:rsid w:val="00645198"/>
    <w:rsid w:val="00647D4B"/>
    <w:rsid w:val="0065152C"/>
    <w:rsid w:val="00660177"/>
    <w:rsid w:val="0066250A"/>
    <w:rsid w:val="00672AAC"/>
    <w:rsid w:val="00683562"/>
    <w:rsid w:val="00683B5B"/>
    <w:rsid w:val="006847C0"/>
    <w:rsid w:val="006866D6"/>
    <w:rsid w:val="006A1A11"/>
    <w:rsid w:val="006A203B"/>
    <w:rsid w:val="006A206F"/>
    <w:rsid w:val="006A4F23"/>
    <w:rsid w:val="006A60AE"/>
    <w:rsid w:val="006A6767"/>
    <w:rsid w:val="006B1B91"/>
    <w:rsid w:val="006B1EBB"/>
    <w:rsid w:val="006B3C7C"/>
    <w:rsid w:val="006B4AA5"/>
    <w:rsid w:val="006B645B"/>
    <w:rsid w:val="006B683A"/>
    <w:rsid w:val="006C015D"/>
    <w:rsid w:val="006C35C7"/>
    <w:rsid w:val="006C64BF"/>
    <w:rsid w:val="006C7CB9"/>
    <w:rsid w:val="006D1F2D"/>
    <w:rsid w:val="006D21DB"/>
    <w:rsid w:val="006D25F8"/>
    <w:rsid w:val="006D507C"/>
    <w:rsid w:val="006E0793"/>
    <w:rsid w:val="006E0953"/>
    <w:rsid w:val="006E0C4E"/>
    <w:rsid w:val="006E4D4A"/>
    <w:rsid w:val="006F073A"/>
    <w:rsid w:val="006F4E9A"/>
    <w:rsid w:val="00713636"/>
    <w:rsid w:val="00715A57"/>
    <w:rsid w:val="007267E6"/>
    <w:rsid w:val="0073448F"/>
    <w:rsid w:val="007364A6"/>
    <w:rsid w:val="007367AF"/>
    <w:rsid w:val="00746C1A"/>
    <w:rsid w:val="00752350"/>
    <w:rsid w:val="00754830"/>
    <w:rsid w:val="00763674"/>
    <w:rsid w:val="00763DCB"/>
    <w:rsid w:val="00766512"/>
    <w:rsid w:val="007726E7"/>
    <w:rsid w:val="007727A9"/>
    <w:rsid w:val="00774754"/>
    <w:rsid w:val="0077648F"/>
    <w:rsid w:val="00780F7A"/>
    <w:rsid w:val="007827A9"/>
    <w:rsid w:val="00782C38"/>
    <w:rsid w:val="007843D5"/>
    <w:rsid w:val="00792D99"/>
    <w:rsid w:val="007A16B1"/>
    <w:rsid w:val="007A58B6"/>
    <w:rsid w:val="007B1BFB"/>
    <w:rsid w:val="007B2339"/>
    <w:rsid w:val="007B2419"/>
    <w:rsid w:val="007B3FA1"/>
    <w:rsid w:val="007D6F33"/>
    <w:rsid w:val="007E5C97"/>
    <w:rsid w:val="007F145C"/>
    <w:rsid w:val="007F32F5"/>
    <w:rsid w:val="007F6D22"/>
    <w:rsid w:val="008045BD"/>
    <w:rsid w:val="00804F25"/>
    <w:rsid w:val="00805188"/>
    <w:rsid w:val="00805689"/>
    <w:rsid w:val="00805703"/>
    <w:rsid w:val="0081054E"/>
    <w:rsid w:val="0081241E"/>
    <w:rsid w:val="00814A84"/>
    <w:rsid w:val="008155B3"/>
    <w:rsid w:val="00816426"/>
    <w:rsid w:val="00825053"/>
    <w:rsid w:val="00825E24"/>
    <w:rsid w:val="00825FD3"/>
    <w:rsid w:val="00826A3D"/>
    <w:rsid w:val="008369C1"/>
    <w:rsid w:val="008403B3"/>
    <w:rsid w:val="00840CF2"/>
    <w:rsid w:val="00841AA0"/>
    <w:rsid w:val="0085058D"/>
    <w:rsid w:val="00853279"/>
    <w:rsid w:val="00857269"/>
    <w:rsid w:val="008626D5"/>
    <w:rsid w:val="00863295"/>
    <w:rsid w:val="00863D26"/>
    <w:rsid w:val="0086779E"/>
    <w:rsid w:val="00874C63"/>
    <w:rsid w:val="00876376"/>
    <w:rsid w:val="0087658E"/>
    <w:rsid w:val="00876689"/>
    <w:rsid w:val="00876FFB"/>
    <w:rsid w:val="00877712"/>
    <w:rsid w:val="008805C7"/>
    <w:rsid w:val="00880EBB"/>
    <w:rsid w:val="0089438B"/>
    <w:rsid w:val="0089662C"/>
    <w:rsid w:val="0089663D"/>
    <w:rsid w:val="008A231C"/>
    <w:rsid w:val="008A437A"/>
    <w:rsid w:val="008B0B72"/>
    <w:rsid w:val="008B1AD0"/>
    <w:rsid w:val="008C047B"/>
    <w:rsid w:val="008C2709"/>
    <w:rsid w:val="008C750F"/>
    <w:rsid w:val="008D1CBB"/>
    <w:rsid w:val="008D560F"/>
    <w:rsid w:val="008D5BF7"/>
    <w:rsid w:val="008E0735"/>
    <w:rsid w:val="008E0A3D"/>
    <w:rsid w:val="008E1FDD"/>
    <w:rsid w:val="008E4EE4"/>
    <w:rsid w:val="008F139A"/>
    <w:rsid w:val="008F7B3C"/>
    <w:rsid w:val="009014CE"/>
    <w:rsid w:val="00905491"/>
    <w:rsid w:val="00905566"/>
    <w:rsid w:val="009068A5"/>
    <w:rsid w:val="0091108B"/>
    <w:rsid w:val="00913939"/>
    <w:rsid w:val="0091416E"/>
    <w:rsid w:val="00914D75"/>
    <w:rsid w:val="00914F1B"/>
    <w:rsid w:val="00920A67"/>
    <w:rsid w:val="009217AA"/>
    <w:rsid w:val="00924B3F"/>
    <w:rsid w:val="00926AD8"/>
    <w:rsid w:val="00932FB9"/>
    <w:rsid w:val="009362F5"/>
    <w:rsid w:val="00937979"/>
    <w:rsid w:val="009406EC"/>
    <w:rsid w:val="009426E9"/>
    <w:rsid w:val="00944689"/>
    <w:rsid w:val="00945F96"/>
    <w:rsid w:val="009471D6"/>
    <w:rsid w:val="009554AF"/>
    <w:rsid w:val="00960080"/>
    <w:rsid w:val="00960110"/>
    <w:rsid w:val="009603F6"/>
    <w:rsid w:val="00960968"/>
    <w:rsid w:val="009615EC"/>
    <w:rsid w:val="00970567"/>
    <w:rsid w:val="00973B98"/>
    <w:rsid w:val="00974CA4"/>
    <w:rsid w:val="00981466"/>
    <w:rsid w:val="00981B4E"/>
    <w:rsid w:val="00983553"/>
    <w:rsid w:val="0098411D"/>
    <w:rsid w:val="00987747"/>
    <w:rsid w:val="0099341A"/>
    <w:rsid w:val="00993DA7"/>
    <w:rsid w:val="00994768"/>
    <w:rsid w:val="009A0892"/>
    <w:rsid w:val="009A2B84"/>
    <w:rsid w:val="009A33C5"/>
    <w:rsid w:val="009A4698"/>
    <w:rsid w:val="009A47F4"/>
    <w:rsid w:val="009A628D"/>
    <w:rsid w:val="009A7962"/>
    <w:rsid w:val="009B77C9"/>
    <w:rsid w:val="009C0640"/>
    <w:rsid w:val="009C3B91"/>
    <w:rsid w:val="009C4544"/>
    <w:rsid w:val="009C5596"/>
    <w:rsid w:val="009D0440"/>
    <w:rsid w:val="009D04F1"/>
    <w:rsid w:val="009D5D65"/>
    <w:rsid w:val="009E030A"/>
    <w:rsid w:val="009E27A8"/>
    <w:rsid w:val="009E3C56"/>
    <w:rsid w:val="009F68F4"/>
    <w:rsid w:val="00A004AE"/>
    <w:rsid w:val="00A045A7"/>
    <w:rsid w:val="00A10D0B"/>
    <w:rsid w:val="00A11DD4"/>
    <w:rsid w:val="00A132C4"/>
    <w:rsid w:val="00A216F5"/>
    <w:rsid w:val="00A22163"/>
    <w:rsid w:val="00A23754"/>
    <w:rsid w:val="00A25141"/>
    <w:rsid w:val="00A25D42"/>
    <w:rsid w:val="00A301F4"/>
    <w:rsid w:val="00A32AFB"/>
    <w:rsid w:val="00A42A0F"/>
    <w:rsid w:val="00A44C9D"/>
    <w:rsid w:val="00A45C44"/>
    <w:rsid w:val="00A5004B"/>
    <w:rsid w:val="00A52263"/>
    <w:rsid w:val="00A53900"/>
    <w:rsid w:val="00A54E98"/>
    <w:rsid w:val="00A62074"/>
    <w:rsid w:val="00A71C3D"/>
    <w:rsid w:val="00A73377"/>
    <w:rsid w:val="00A75852"/>
    <w:rsid w:val="00A77035"/>
    <w:rsid w:val="00A773BE"/>
    <w:rsid w:val="00A87510"/>
    <w:rsid w:val="00A90DF7"/>
    <w:rsid w:val="00A93F91"/>
    <w:rsid w:val="00A96718"/>
    <w:rsid w:val="00AA08AD"/>
    <w:rsid w:val="00AA0C2A"/>
    <w:rsid w:val="00AB4855"/>
    <w:rsid w:val="00AB61C0"/>
    <w:rsid w:val="00AB628B"/>
    <w:rsid w:val="00AB6991"/>
    <w:rsid w:val="00AB76E8"/>
    <w:rsid w:val="00AC3129"/>
    <w:rsid w:val="00AD3F17"/>
    <w:rsid w:val="00AD4502"/>
    <w:rsid w:val="00AD6C6D"/>
    <w:rsid w:val="00AD76B1"/>
    <w:rsid w:val="00AE2C35"/>
    <w:rsid w:val="00AE3C72"/>
    <w:rsid w:val="00AE4193"/>
    <w:rsid w:val="00AE4EC8"/>
    <w:rsid w:val="00AE54DE"/>
    <w:rsid w:val="00AE5517"/>
    <w:rsid w:val="00AE6BB3"/>
    <w:rsid w:val="00AF0311"/>
    <w:rsid w:val="00AF072D"/>
    <w:rsid w:val="00AF2819"/>
    <w:rsid w:val="00AF2996"/>
    <w:rsid w:val="00AF53C3"/>
    <w:rsid w:val="00B00754"/>
    <w:rsid w:val="00B05C78"/>
    <w:rsid w:val="00B075C0"/>
    <w:rsid w:val="00B07B99"/>
    <w:rsid w:val="00B13E92"/>
    <w:rsid w:val="00B17630"/>
    <w:rsid w:val="00B23829"/>
    <w:rsid w:val="00B24F99"/>
    <w:rsid w:val="00B256A6"/>
    <w:rsid w:val="00B264CE"/>
    <w:rsid w:val="00B31A72"/>
    <w:rsid w:val="00B33A26"/>
    <w:rsid w:val="00B416F0"/>
    <w:rsid w:val="00B53D4E"/>
    <w:rsid w:val="00B56AB9"/>
    <w:rsid w:val="00B57849"/>
    <w:rsid w:val="00B61DA9"/>
    <w:rsid w:val="00B62357"/>
    <w:rsid w:val="00B76422"/>
    <w:rsid w:val="00B77605"/>
    <w:rsid w:val="00B80304"/>
    <w:rsid w:val="00B82808"/>
    <w:rsid w:val="00B83117"/>
    <w:rsid w:val="00B85E93"/>
    <w:rsid w:val="00B87BF3"/>
    <w:rsid w:val="00B90EE8"/>
    <w:rsid w:val="00B91E2E"/>
    <w:rsid w:val="00B94D55"/>
    <w:rsid w:val="00B953BC"/>
    <w:rsid w:val="00B9586E"/>
    <w:rsid w:val="00BA416D"/>
    <w:rsid w:val="00BA676D"/>
    <w:rsid w:val="00BB1926"/>
    <w:rsid w:val="00BB2FC2"/>
    <w:rsid w:val="00BB4DD8"/>
    <w:rsid w:val="00BC0CD3"/>
    <w:rsid w:val="00BC11EF"/>
    <w:rsid w:val="00BC3EDF"/>
    <w:rsid w:val="00BC7260"/>
    <w:rsid w:val="00BD26EA"/>
    <w:rsid w:val="00BD41EF"/>
    <w:rsid w:val="00BD7D87"/>
    <w:rsid w:val="00BE417A"/>
    <w:rsid w:val="00BF0BE3"/>
    <w:rsid w:val="00BF1B7C"/>
    <w:rsid w:val="00C01DA9"/>
    <w:rsid w:val="00C021E3"/>
    <w:rsid w:val="00C156D9"/>
    <w:rsid w:val="00C21D7A"/>
    <w:rsid w:val="00C23F5E"/>
    <w:rsid w:val="00C24208"/>
    <w:rsid w:val="00C24527"/>
    <w:rsid w:val="00C2580B"/>
    <w:rsid w:val="00C320FF"/>
    <w:rsid w:val="00C40542"/>
    <w:rsid w:val="00C4545C"/>
    <w:rsid w:val="00C470CF"/>
    <w:rsid w:val="00C52027"/>
    <w:rsid w:val="00C53EA1"/>
    <w:rsid w:val="00C545B5"/>
    <w:rsid w:val="00C548A3"/>
    <w:rsid w:val="00C55B2A"/>
    <w:rsid w:val="00C55FBC"/>
    <w:rsid w:val="00C66DBF"/>
    <w:rsid w:val="00C73182"/>
    <w:rsid w:val="00C73B23"/>
    <w:rsid w:val="00C74647"/>
    <w:rsid w:val="00C7530D"/>
    <w:rsid w:val="00C82319"/>
    <w:rsid w:val="00C86259"/>
    <w:rsid w:val="00C8640A"/>
    <w:rsid w:val="00C86CA9"/>
    <w:rsid w:val="00C907CA"/>
    <w:rsid w:val="00C92C19"/>
    <w:rsid w:val="00C92FCF"/>
    <w:rsid w:val="00C93FAE"/>
    <w:rsid w:val="00C94045"/>
    <w:rsid w:val="00C94A81"/>
    <w:rsid w:val="00C970F9"/>
    <w:rsid w:val="00CA106A"/>
    <w:rsid w:val="00CA15EB"/>
    <w:rsid w:val="00CA54B8"/>
    <w:rsid w:val="00CA613E"/>
    <w:rsid w:val="00CA7DC6"/>
    <w:rsid w:val="00CB29B4"/>
    <w:rsid w:val="00CB397B"/>
    <w:rsid w:val="00CB3C84"/>
    <w:rsid w:val="00CB3FE8"/>
    <w:rsid w:val="00CB5E6C"/>
    <w:rsid w:val="00CB6B53"/>
    <w:rsid w:val="00CC04C0"/>
    <w:rsid w:val="00CC0EE2"/>
    <w:rsid w:val="00CC2A7D"/>
    <w:rsid w:val="00CC2E4D"/>
    <w:rsid w:val="00CD12D5"/>
    <w:rsid w:val="00CD1314"/>
    <w:rsid w:val="00CD32D8"/>
    <w:rsid w:val="00CD45F5"/>
    <w:rsid w:val="00CD465B"/>
    <w:rsid w:val="00CD4BF1"/>
    <w:rsid w:val="00CD6383"/>
    <w:rsid w:val="00CD695B"/>
    <w:rsid w:val="00CE04C6"/>
    <w:rsid w:val="00CE12FA"/>
    <w:rsid w:val="00CE2FD4"/>
    <w:rsid w:val="00CE4DD8"/>
    <w:rsid w:val="00CE5337"/>
    <w:rsid w:val="00CE7EC8"/>
    <w:rsid w:val="00CF32FC"/>
    <w:rsid w:val="00CF3E7B"/>
    <w:rsid w:val="00D001AF"/>
    <w:rsid w:val="00D00D11"/>
    <w:rsid w:val="00D02A2D"/>
    <w:rsid w:val="00D1201C"/>
    <w:rsid w:val="00D13A3C"/>
    <w:rsid w:val="00D178A6"/>
    <w:rsid w:val="00D272F7"/>
    <w:rsid w:val="00D27B12"/>
    <w:rsid w:val="00D314ED"/>
    <w:rsid w:val="00D33A97"/>
    <w:rsid w:val="00D33DF3"/>
    <w:rsid w:val="00D36ECE"/>
    <w:rsid w:val="00D413A6"/>
    <w:rsid w:val="00D42711"/>
    <w:rsid w:val="00D43EEE"/>
    <w:rsid w:val="00D45CFA"/>
    <w:rsid w:val="00D515D4"/>
    <w:rsid w:val="00D520F4"/>
    <w:rsid w:val="00D52E18"/>
    <w:rsid w:val="00D557C3"/>
    <w:rsid w:val="00D558FE"/>
    <w:rsid w:val="00D60F6B"/>
    <w:rsid w:val="00D64AA0"/>
    <w:rsid w:val="00D675AF"/>
    <w:rsid w:val="00D75051"/>
    <w:rsid w:val="00D82225"/>
    <w:rsid w:val="00D82F05"/>
    <w:rsid w:val="00D85B46"/>
    <w:rsid w:val="00D86548"/>
    <w:rsid w:val="00D86C2D"/>
    <w:rsid w:val="00D92C0C"/>
    <w:rsid w:val="00D92D13"/>
    <w:rsid w:val="00D94FCC"/>
    <w:rsid w:val="00D95799"/>
    <w:rsid w:val="00DA0D15"/>
    <w:rsid w:val="00DA1597"/>
    <w:rsid w:val="00DA25EA"/>
    <w:rsid w:val="00DA2A47"/>
    <w:rsid w:val="00DB0BF1"/>
    <w:rsid w:val="00DB40B8"/>
    <w:rsid w:val="00DB480E"/>
    <w:rsid w:val="00DB757E"/>
    <w:rsid w:val="00DB7766"/>
    <w:rsid w:val="00DC0FA3"/>
    <w:rsid w:val="00DC2F9E"/>
    <w:rsid w:val="00DC3583"/>
    <w:rsid w:val="00DC5FAE"/>
    <w:rsid w:val="00DC738E"/>
    <w:rsid w:val="00DE354B"/>
    <w:rsid w:val="00DE53F1"/>
    <w:rsid w:val="00DE704A"/>
    <w:rsid w:val="00DF2E26"/>
    <w:rsid w:val="00DF47A3"/>
    <w:rsid w:val="00E0014E"/>
    <w:rsid w:val="00E009AE"/>
    <w:rsid w:val="00E00A73"/>
    <w:rsid w:val="00E01B4F"/>
    <w:rsid w:val="00E02EEE"/>
    <w:rsid w:val="00E059E4"/>
    <w:rsid w:val="00E147CA"/>
    <w:rsid w:val="00E17C53"/>
    <w:rsid w:val="00E17F0F"/>
    <w:rsid w:val="00E20577"/>
    <w:rsid w:val="00E30DB4"/>
    <w:rsid w:val="00E37677"/>
    <w:rsid w:val="00E4241C"/>
    <w:rsid w:val="00E42E36"/>
    <w:rsid w:val="00E440BA"/>
    <w:rsid w:val="00E456B6"/>
    <w:rsid w:val="00E469E3"/>
    <w:rsid w:val="00E55AE2"/>
    <w:rsid w:val="00E5623C"/>
    <w:rsid w:val="00E65190"/>
    <w:rsid w:val="00E721CC"/>
    <w:rsid w:val="00E7557C"/>
    <w:rsid w:val="00E764B8"/>
    <w:rsid w:val="00E80271"/>
    <w:rsid w:val="00E822DB"/>
    <w:rsid w:val="00E847A8"/>
    <w:rsid w:val="00E876CE"/>
    <w:rsid w:val="00E962C0"/>
    <w:rsid w:val="00E9795E"/>
    <w:rsid w:val="00EA5656"/>
    <w:rsid w:val="00EA7A83"/>
    <w:rsid w:val="00EB12A1"/>
    <w:rsid w:val="00EB32C2"/>
    <w:rsid w:val="00EB48E8"/>
    <w:rsid w:val="00EB4EE4"/>
    <w:rsid w:val="00EB6686"/>
    <w:rsid w:val="00EB69C6"/>
    <w:rsid w:val="00EB740D"/>
    <w:rsid w:val="00EC15CA"/>
    <w:rsid w:val="00EC37E7"/>
    <w:rsid w:val="00EC760F"/>
    <w:rsid w:val="00EE18CB"/>
    <w:rsid w:val="00EE724E"/>
    <w:rsid w:val="00F01A97"/>
    <w:rsid w:val="00F01C32"/>
    <w:rsid w:val="00F02D74"/>
    <w:rsid w:val="00F031FA"/>
    <w:rsid w:val="00F0487B"/>
    <w:rsid w:val="00F067AB"/>
    <w:rsid w:val="00F11D82"/>
    <w:rsid w:val="00F15DC5"/>
    <w:rsid w:val="00F17C77"/>
    <w:rsid w:val="00F259F5"/>
    <w:rsid w:val="00F261A4"/>
    <w:rsid w:val="00F30FD8"/>
    <w:rsid w:val="00F32B5F"/>
    <w:rsid w:val="00F3310E"/>
    <w:rsid w:val="00F3369A"/>
    <w:rsid w:val="00F34C8F"/>
    <w:rsid w:val="00F37377"/>
    <w:rsid w:val="00F41221"/>
    <w:rsid w:val="00F43D2E"/>
    <w:rsid w:val="00F44160"/>
    <w:rsid w:val="00F504EC"/>
    <w:rsid w:val="00F52523"/>
    <w:rsid w:val="00F60DD2"/>
    <w:rsid w:val="00F61E78"/>
    <w:rsid w:val="00F62A76"/>
    <w:rsid w:val="00F6667D"/>
    <w:rsid w:val="00F82E95"/>
    <w:rsid w:val="00F84B95"/>
    <w:rsid w:val="00F86679"/>
    <w:rsid w:val="00F872D1"/>
    <w:rsid w:val="00F913A6"/>
    <w:rsid w:val="00F91781"/>
    <w:rsid w:val="00F91C8B"/>
    <w:rsid w:val="00F977B1"/>
    <w:rsid w:val="00FA2AE2"/>
    <w:rsid w:val="00FA43D7"/>
    <w:rsid w:val="00FA5105"/>
    <w:rsid w:val="00FB0806"/>
    <w:rsid w:val="00FB326C"/>
    <w:rsid w:val="00FB6A43"/>
    <w:rsid w:val="00FC483E"/>
    <w:rsid w:val="00FC7F8F"/>
    <w:rsid w:val="00FD2C0E"/>
    <w:rsid w:val="00FD4B64"/>
    <w:rsid w:val="00FD652E"/>
    <w:rsid w:val="00FE0892"/>
    <w:rsid w:val="00FE5468"/>
    <w:rsid w:val="00FE7D48"/>
    <w:rsid w:val="00FF4972"/>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2945"/>
    <o:shapelayout v:ext="edit">
      <o:idmap v:ext="edit" data="1"/>
    </o:shapelayout>
  </w:shapeDefaults>
  <w:decimalSymbol w:val=","/>
  <w:listSeparator w:val=";"/>
  <w14:docId w14:val="33631705"/>
  <w15:docId w15:val="{8AEFBBBC-07BF-479A-8CC2-08AACC1F1B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AF0311"/>
    <w:pPr>
      <w:spacing w:before="120" w:after="120"/>
      <w:jc w:val="both"/>
    </w:pPr>
    <w:rPr>
      <w:rFonts w:ascii="Arial" w:hAnsi="Arial"/>
    </w:rPr>
  </w:style>
  <w:style w:type="paragraph" w:styleId="Nadpis1">
    <w:name w:val="heading 1"/>
    <w:basedOn w:val="Normln"/>
    <w:next w:val="Normln"/>
    <w:link w:val="Nadpis1Char"/>
    <w:autoRedefine/>
    <w:uiPriority w:val="9"/>
    <w:qFormat/>
    <w:rsid w:val="00573A99"/>
    <w:pPr>
      <w:keepNext/>
      <w:keepLines/>
      <w:numPr>
        <w:numId w:val="6"/>
      </w:numPr>
      <w:spacing w:before="480" w:line="240" w:lineRule="auto"/>
      <w:ind w:left="567" w:hanging="567"/>
      <w:jc w:val="left"/>
      <w:outlineLvl w:val="0"/>
    </w:pPr>
    <w:rPr>
      <w:rFonts w:eastAsiaTheme="majorEastAsia" w:cstheme="majorBidi"/>
      <w:b/>
      <w:sz w:val="36"/>
      <w:szCs w:val="32"/>
    </w:rPr>
  </w:style>
  <w:style w:type="paragraph" w:styleId="Nadpis2">
    <w:name w:val="heading 2"/>
    <w:basedOn w:val="Normln"/>
    <w:next w:val="Normln"/>
    <w:link w:val="Nadpis2Char"/>
    <w:uiPriority w:val="9"/>
    <w:unhideWhenUsed/>
    <w:qFormat/>
    <w:rsid w:val="008369C1"/>
    <w:pPr>
      <w:keepNext/>
      <w:keepLines/>
      <w:numPr>
        <w:ilvl w:val="1"/>
        <w:numId w:val="6"/>
      </w:numPr>
      <w:spacing w:before="240" w:line="240" w:lineRule="auto"/>
      <w:ind w:left="1135" w:hanging="851"/>
      <w:jc w:val="left"/>
      <w:outlineLvl w:val="1"/>
    </w:pPr>
    <w:rPr>
      <w:rFonts w:eastAsiaTheme="majorEastAsia" w:cstheme="majorBidi"/>
      <w:b/>
      <w:sz w:val="28"/>
      <w:szCs w:val="26"/>
    </w:rPr>
  </w:style>
  <w:style w:type="paragraph" w:styleId="Nadpis3">
    <w:name w:val="heading 3"/>
    <w:basedOn w:val="Normln"/>
    <w:next w:val="Normln"/>
    <w:link w:val="Nadpis3Char"/>
    <w:uiPriority w:val="9"/>
    <w:unhideWhenUsed/>
    <w:qFormat/>
    <w:rsid w:val="005B4FD0"/>
    <w:pPr>
      <w:keepNext/>
      <w:keepLines/>
      <w:numPr>
        <w:ilvl w:val="2"/>
        <w:numId w:val="6"/>
      </w:numPr>
      <w:spacing w:before="240" w:line="240" w:lineRule="auto"/>
      <w:ind w:left="284"/>
      <w:jc w:val="left"/>
      <w:outlineLvl w:val="2"/>
    </w:pPr>
    <w:rPr>
      <w:rFonts w:eastAsiaTheme="majorEastAsia" w:cstheme="majorBidi"/>
      <w:b/>
      <w:sz w:val="24"/>
      <w:szCs w:val="24"/>
    </w:rPr>
  </w:style>
  <w:style w:type="paragraph" w:styleId="Nadpis4">
    <w:name w:val="heading 4"/>
    <w:basedOn w:val="Normln"/>
    <w:next w:val="Normln"/>
    <w:link w:val="Nadpis4Char"/>
    <w:uiPriority w:val="9"/>
    <w:unhideWhenUsed/>
    <w:qFormat/>
    <w:rsid w:val="008369C1"/>
    <w:pPr>
      <w:keepNext/>
      <w:keepLines/>
      <w:numPr>
        <w:ilvl w:val="3"/>
        <w:numId w:val="6"/>
      </w:numPr>
      <w:spacing w:before="240" w:line="240" w:lineRule="auto"/>
      <w:ind w:left="1135" w:hanging="851"/>
      <w:outlineLvl w:val="3"/>
    </w:pPr>
    <w:rPr>
      <w:rFonts w:eastAsiaTheme="majorEastAsia" w:cstheme="majorBidi"/>
      <w:b/>
      <w:iCs/>
      <w:sz w:val="24"/>
    </w:rPr>
  </w:style>
  <w:style w:type="paragraph" w:styleId="Nadpis5">
    <w:name w:val="heading 5"/>
    <w:basedOn w:val="Normln"/>
    <w:next w:val="Normln"/>
    <w:link w:val="Nadpis5Char"/>
    <w:uiPriority w:val="9"/>
    <w:unhideWhenUsed/>
    <w:qFormat/>
    <w:rsid w:val="008369C1"/>
    <w:pPr>
      <w:keepNext/>
      <w:keepLines/>
      <w:numPr>
        <w:ilvl w:val="4"/>
        <w:numId w:val="6"/>
      </w:numPr>
      <w:spacing w:before="240" w:line="240" w:lineRule="auto"/>
      <w:ind w:left="1418" w:hanging="1134"/>
      <w:jc w:val="left"/>
      <w:outlineLvl w:val="4"/>
    </w:pPr>
    <w:rPr>
      <w:rFonts w:eastAsiaTheme="majorEastAsia" w:cstheme="majorBidi"/>
      <w:b/>
    </w:rPr>
  </w:style>
  <w:style w:type="paragraph" w:styleId="Nadpis6">
    <w:name w:val="heading 6"/>
    <w:basedOn w:val="Normln"/>
    <w:next w:val="Normln"/>
    <w:link w:val="Nadpis6Char"/>
    <w:uiPriority w:val="9"/>
    <w:unhideWhenUsed/>
    <w:qFormat/>
    <w:rsid w:val="008369C1"/>
    <w:pPr>
      <w:keepNext/>
      <w:keepLines/>
      <w:numPr>
        <w:ilvl w:val="5"/>
        <w:numId w:val="6"/>
      </w:numPr>
      <w:spacing w:before="240" w:line="259" w:lineRule="auto"/>
      <w:ind w:left="1418" w:hanging="1134"/>
      <w:outlineLvl w:val="5"/>
    </w:pPr>
    <w:rPr>
      <w:rFonts w:eastAsiaTheme="majorEastAsia" w:cstheme="majorBidi"/>
      <w:b/>
    </w:rPr>
  </w:style>
  <w:style w:type="paragraph" w:styleId="Nadpis7">
    <w:name w:val="heading 7"/>
    <w:basedOn w:val="Normln"/>
    <w:next w:val="Normln"/>
    <w:link w:val="Nadpis7Char"/>
    <w:uiPriority w:val="9"/>
    <w:unhideWhenUsed/>
    <w:qFormat/>
    <w:rsid w:val="001D32D7"/>
    <w:pPr>
      <w:keepNext/>
      <w:keepLines/>
      <w:numPr>
        <w:ilvl w:val="6"/>
        <w:numId w:val="1"/>
      </w:numPr>
      <w:spacing w:before="40" w:after="0" w:line="259" w:lineRule="auto"/>
      <w:outlineLvl w:val="6"/>
    </w:pPr>
    <w:rPr>
      <w:rFonts w:asciiTheme="majorHAnsi" w:eastAsiaTheme="majorEastAsia" w:hAnsiTheme="majorHAnsi" w:cstheme="majorBidi"/>
      <w:i/>
      <w:iCs/>
      <w:color w:val="243F60" w:themeColor="accent1" w:themeShade="7F"/>
      <w:sz w:val="24"/>
    </w:rPr>
  </w:style>
  <w:style w:type="paragraph" w:styleId="Nadpis8">
    <w:name w:val="heading 8"/>
    <w:basedOn w:val="Normln"/>
    <w:next w:val="Normln"/>
    <w:link w:val="Nadpis8Char"/>
    <w:uiPriority w:val="9"/>
    <w:semiHidden/>
    <w:unhideWhenUsed/>
    <w:qFormat/>
    <w:rsid w:val="001D32D7"/>
    <w:pPr>
      <w:keepNext/>
      <w:keepLines/>
      <w:numPr>
        <w:ilvl w:val="7"/>
        <w:numId w:val="1"/>
      </w:numPr>
      <w:spacing w:before="40" w:after="0" w:line="259" w:lineRule="auto"/>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1D32D7"/>
    <w:pPr>
      <w:keepNext/>
      <w:keepLines/>
      <w:numPr>
        <w:ilvl w:val="8"/>
        <w:numId w:val="1"/>
      </w:numPr>
      <w:spacing w:before="40" w:after="0" w:line="259" w:lineRule="auto"/>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573A99"/>
    <w:rPr>
      <w:rFonts w:ascii="Arial" w:eastAsiaTheme="majorEastAsia" w:hAnsi="Arial" w:cstheme="majorBidi"/>
      <w:b/>
      <w:sz w:val="36"/>
      <w:szCs w:val="32"/>
    </w:rPr>
  </w:style>
  <w:style w:type="character" w:customStyle="1" w:styleId="Nadpis2Char">
    <w:name w:val="Nadpis 2 Char"/>
    <w:basedOn w:val="Standardnpsmoodstavce"/>
    <w:link w:val="Nadpis2"/>
    <w:uiPriority w:val="9"/>
    <w:rsid w:val="008369C1"/>
    <w:rPr>
      <w:rFonts w:ascii="Arial" w:eastAsiaTheme="majorEastAsia" w:hAnsi="Arial" w:cstheme="majorBidi"/>
      <w:b/>
      <w:sz w:val="28"/>
      <w:szCs w:val="26"/>
    </w:rPr>
  </w:style>
  <w:style w:type="character" w:customStyle="1" w:styleId="Nadpis3Char">
    <w:name w:val="Nadpis 3 Char"/>
    <w:basedOn w:val="Standardnpsmoodstavce"/>
    <w:link w:val="Nadpis3"/>
    <w:uiPriority w:val="9"/>
    <w:rsid w:val="005B4FD0"/>
    <w:rPr>
      <w:rFonts w:ascii="Arial" w:eastAsiaTheme="majorEastAsia" w:hAnsi="Arial" w:cstheme="majorBidi"/>
      <w:b/>
      <w:sz w:val="24"/>
      <w:szCs w:val="24"/>
    </w:rPr>
  </w:style>
  <w:style w:type="character" w:customStyle="1" w:styleId="Nadpis4Char">
    <w:name w:val="Nadpis 4 Char"/>
    <w:basedOn w:val="Standardnpsmoodstavce"/>
    <w:link w:val="Nadpis4"/>
    <w:uiPriority w:val="9"/>
    <w:rsid w:val="008369C1"/>
    <w:rPr>
      <w:rFonts w:ascii="Arial" w:eastAsiaTheme="majorEastAsia" w:hAnsi="Arial" w:cstheme="majorBidi"/>
      <w:b/>
      <w:iCs/>
      <w:sz w:val="24"/>
    </w:rPr>
  </w:style>
  <w:style w:type="character" w:customStyle="1" w:styleId="Nadpis5Char">
    <w:name w:val="Nadpis 5 Char"/>
    <w:basedOn w:val="Standardnpsmoodstavce"/>
    <w:link w:val="Nadpis5"/>
    <w:uiPriority w:val="9"/>
    <w:rsid w:val="008369C1"/>
    <w:rPr>
      <w:rFonts w:ascii="Arial" w:eastAsiaTheme="majorEastAsia" w:hAnsi="Arial" w:cstheme="majorBidi"/>
      <w:b/>
    </w:rPr>
  </w:style>
  <w:style w:type="character" w:customStyle="1" w:styleId="Nadpis6Char">
    <w:name w:val="Nadpis 6 Char"/>
    <w:basedOn w:val="Standardnpsmoodstavce"/>
    <w:link w:val="Nadpis6"/>
    <w:uiPriority w:val="9"/>
    <w:rsid w:val="008369C1"/>
    <w:rPr>
      <w:rFonts w:ascii="Arial" w:eastAsiaTheme="majorEastAsia" w:hAnsi="Arial" w:cstheme="majorBidi"/>
      <w:b/>
    </w:rPr>
  </w:style>
  <w:style w:type="character" w:customStyle="1" w:styleId="Nadpis7Char">
    <w:name w:val="Nadpis 7 Char"/>
    <w:basedOn w:val="Standardnpsmoodstavce"/>
    <w:link w:val="Nadpis7"/>
    <w:uiPriority w:val="9"/>
    <w:rsid w:val="001D32D7"/>
    <w:rPr>
      <w:rFonts w:asciiTheme="majorHAnsi" w:eastAsiaTheme="majorEastAsia" w:hAnsiTheme="majorHAnsi" w:cstheme="majorBidi"/>
      <w:i/>
      <w:iCs/>
      <w:color w:val="243F60" w:themeColor="accent1" w:themeShade="7F"/>
      <w:sz w:val="24"/>
    </w:rPr>
  </w:style>
  <w:style w:type="character" w:customStyle="1" w:styleId="Nadpis8Char">
    <w:name w:val="Nadpis 8 Char"/>
    <w:basedOn w:val="Standardnpsmoodstavce"/>
    <w:link w:val="Nadpis8"/>
    <w:uiPriority w:val="9"/>
    <w:semiHidden/>
    <w:rsid w:val="001D32D7"/>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1D32D7"/>
    <w:rPr>
      <w:rFonts w:asciiTheme="majorHAnsi" w:eastAsiaTheme="majorEastAsia" w:hAnsiTheme="majorHAnsi" w:cstheme="majorBidi"/>
      <w:i/>
      <w:iCs/>
      <w:color w:val="272727" w:themeColor="text1" w:themeTint="D8"/>
      <w:sz w:val="21"/>
      <w:szCs w:val="21"/>
    </w:rPr>
  </w:style>
  <w:style w:type="paragraph" w:styleId="Zhlav">
    <w:name w:val="header"/>
    <w:basedOn w:val="Normln"/>
    <w:link w:val="ZhlavChar"/>
    <w:uiPriority w:val="99"/>
    <w:unhideWhenUsed/>
    <w:rsid w:val="001D32D7"/>
    <w:pPr>
      <w:tabs>
        <w:tab w:val="center" w:pos="4536"/>
        <w:tab w:val="right" w:pos="9072"/>
      </w:tabs>
      <w:spacing w:before="0" w:after="0" w:line="240" w:lineRule="auto"/>
    </w:pPr>
  </w:style>
  <w:style w:type="character" w:customStyle="1" w:styleId="ZhlavChar">
    <w:name w:val="Záhlaví Char"/>
    <w:basedOn w:val="Standardnpsmoodstavce"/>
    <w:link w:val="Zhlav"/>
    <w:uiPriority w:val="99"/>
    <w:rsid w:val="001D32D7"/>
    <w:rPr>
      <w:rFonts w:ascii="Arial" w:hAnsi="Arial"/>
    </w:rPr>
  </w:style>
  <w:style w:type="paragraph" w:styleId="Zpat">
    <w:name w:val="footer"/>
    <w:basedOn w:val="Normln"/>
    <w:link w:val="ZpatChar"/>
    <w:uiPriority w:val="99"/>
    <w:unhideWhenUsed/>
    <w:rsid w:val="001D32D7"/>
    <w:pPr>
      <w:tabs>
        <w:tab w:val="center" w:pos="4536"/>
        <w:tab w:val="right" w:pos="9072"/>
      </w:tabs>
      <w:spacing w:before="0" w:after="0" w:line="240" w:lineRule="auto"/>
    </w:pPr>
  </w:style>
  <w:style w:type="character" w:customStyle="1" w:styleId="ZpatChar">
    <w:name w:val="Zápatí Char"/>
    <w:basedOn w:val="Standardnpsmoodstavce"/>
    <w:link w:val="Zpat"/>
    <w:uiPriority w:val="99"/>
    <w:rsid w:val="001D32D7"/>
    <w:rPr>
      <w:rFonts w:ascii="Arial" w:hAnsi="Arial"/>
    </w:rPr>
  </w:style>
  <w:style w:type="table" w:styleId="Mkatabulky">
    <w:name w:val="Table Grid"/>
    <w:basedOn w:val="Normlntabulka"/>
    <w:uiPriority w:val="59"/>
    <w:rsid w:val="001D32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9F68F4"/>
    <w:rPr>
      <w:color w:val="0000FF" w:themeColor="hyperlink"/>
      <w:u w:val="single"/>
    </w:rPr>
  </w:style>
  <w:style w:type="paragraph" w:styleId="Obsah2">
    <w:name w:val="toc 2"/>
    <w:basedOn w:val="Normln"/>
    <w:next w:val="Normln"/>
    <w:autoRedefine/>
    <w:uiPriority w:val="39"/>
    <w:unhideWhenUsed/>
    <w:rsid w:val="00D413A6"/>
    <w:pPr>
      <w:spacing w:after="100"/>
      <w:ind w:left="220"/>
    </w:pPr>
  </w:style>
  <w:style w:type="paragraph" w:styleId="Obsah1">
    <w:name w:val="toc 1"/>
    <w:basedOn w:val="Normln"/>
    <w:next w:val="Normln"/>
    <w:autoRedefine/>
    <w:uiPriority w:val="39"/>
    <w:unhideWhenUsed/>
    <w:rsid w:val="008369C1"/>
    <w:pPr>
      <w:tabs>
        <w:tab w:val="right" w:leader="dot" w:pos="9062"/>
      </w:tabs>
      <w:spacing w:after="100"/>
      <w:jc w:val="left"/>
    </w:pPr>
  </w:style>
  <w:style w:type="paragraph" w:styleId="Obsah3">
    <w:name w:val="toc 3"/>
    <w:basedOn w:val="Normln"/>
    <w:next w:val="Normln"/>
    <w:autoRedefine/>
    <w:uiPriority w:val="39"/>
    <w:unhideWhenUsed/>
    <w:rsid w:val="00D413A6"/>
    <w:pPr>
      <w:spacing w:after="100"/>
      <w:ind w:left="440"/>
    </w:pPr>
  </w:style>
  <w:style w:type="paragraph" w:styleId="Odstavecseseznamem">
    <w:name w:val="List Paragraph"/>
    <w:basedOn w:val="Normln"/>
    <w:uiPriority w:val="34"/>
    <w:qFormat/>
    <w:rsid w:val="005A5729"/>
    <w:pPr>
      <w:ind w:left="720"/>
      <w:contextualSpacing/>
    </w:pPr>
  </w:style>
  <w:style w:type="paragraph" w:customStyle="1" w:styleId="Tabulka">
    <w:name w:val="Tabulka"/>
    <w:basedOn w:val="Normln"/>
    <w:qFormat/>
    <w:rsid w:val="00FE5468"/>
    <w:pPr>
      <w:keepNext/>
      <w:spacing w:before="240" w:after="0"/>
    </w:pPr>
    <w:rPr>
      <w:i/>
    </w:rPr>
  </w:style>
  <w:style w:type="paragraph" w:customStyle="1" w:styleId="Odrka1">
    <w:name w:val="Odrážka_1"/>
    <w:basedOn w:val="Normln"/>
    <w:link w:val="Odrka1Char"/>
    <w:qFormat/>
    <w:rsid w:val="002F1D1E"/>
    <w:pPr>
      <w:numPr>
        <w:numId w:val="12"/>
      </w:numPr>
      <w:spacing w:before="0" w:after="0"/>
    </w:pPr>
    <w:rPr>
      <w:rFonts w:eastAsia="Times New Roman" w:cs="Times New Roman"/>
      <w:szCs w:val="18"/>
    </w:rPr>
  </w:style>
  <w:style w:type="character" w:customStyle="1" w:styleId="Odrka1Char">
    <w:name w:val="Odrážka_1 Char"/>
    <w:link w:val="Odrka1"/>
    <w:rsid w:val="002F1D1E"/>
    <w:rPr>
      <w:rFonts w:ascii="Arial" w:eastAsia="Times New Roman" w:hAnsi="Arial" w:cs="Times New Roman"/>
      <w:szCs w:val="18"/>
    </w:rPr>
  </w:style>
  <w:style w:type="paragraph" w:styleId="Zkladntext">
    <w:name w:val="Body Text"/>
    <w:basedOn w:val="Normln"/>
    <w:link w:val="ZkladntextChar"/>
    <w:rsid w:val="001F0560"/>
    <w:pPr>
      <w:spacing w:after="0"/>
    </w:pPr>
    <w:rPr>
      <w:rFonts w:eastAsia="Times New Roman" w:cs="Times New Roman"/>
    </w:rPr>
  </w:style>
  <w:style w:type="character" w:customStyle="1" w:styleId="ZkladntextChar">
    <w:name w:val="Základní text Char"/>
    <w:basedOn w:val="Standardnpsmoodstavce"/>
    <w:link w:val="Zkladntext"/>
    <w:rsid w:val="001F0560"/>
    <w:rPr>
      <w:rFonts w:ascii="Arial" w:eastAsia="Times New Roman" w:hAnsi="Arial" w:cs="Times New Roman"/>
    </w:rPr>
  </w:style>
  <w:style w:type="paragraph" w:styleId="Bezmezer">
    <w:name w:val="No Spacing"/>
    <w:link w:val="BezmezerChar"/>
    <w:qFormat/>
    <w:rsid w:val="00036290"/>
    <w:pPr>
      <w:spacing w:after="0" w:line="240" w:lineRule="auto"/>
    </w:pPr>
    <w:rPr>
      <w:rFonts w:ascii="Arial" w:eastAsia="Times New Roman" w:hAnsi="Arial" w:cs="Times New Roman"/>
    </w:rPr>
  </w:style>
  <w:style w:type="character" w:customStyle="1" w:styleId="BezmezerChar">
    <w:name w:val="Bez mezer Char"/>
    <w:link w:val="Bezmezer"/>
    <w:rsid w:val="00036290"/>
    <w:rPr>
      <w:rFonts w:ascii="Arial" w:eastAsia="Times New Roman" w:hAnsi="Arial" w:cs="Times New Roman"/>
    </w:rPr>
  </w:style>
  <w:style w:type="paragraph" w:styleId="Titulek">
    <w:name w:val="caption"/>
    <w:basedOn w:val="Normln"/>
    <w:next w:val="Normln"/>
    <w:uiPriority w:val="35"/>
    <w:unhideWhenUsed/>
    <w:qFormat/>
    <w:rsid w:val="00C021E3"/>
    <w:pPr>
      <w:spacing w:before="0" w:after="200" w:line="240" w:lineRule="auto"/>
    </w:pPr>
    <w:rPr>
      <w:i/>
      <w:iCs/>
      <w:color w:val="1F497D" w:themeColor="text2"/>
      <w:sz w:val="18"/>
      <w:szCs w:val="18"/>
    </w:rPr>
  </w:style>
  <w:style w:type="paragraph" w:customStyle="1" w:styleId="Obrzek">
    <w:name w:val="Obrázek"/>
    <w:basedOn w:val="Tabulka"/>
    <w:qFormat/>
    <w:rsid w:val="003A75AF"/>
    <w:pPr>
      <w:spacing w:before="120" w:after="120" w:line="240" w:lineRule="auto"/>
      <w:jc w:val="center"/>
    </w:pPr>
  </w:style>
  <w:style w:type="paragraph" w:styleId="Textpoznpodarou">
    <w:name w:val="footnote text"/>
    <w:basedOn w:val="Normln"/>
    <w:link w:val="TextpoznpodarouChar"/>
    <w:uiPriority w:val="99"/>
    <w:semiHidden/>
    <w:unhideWhenUsed/>
    <w:rsid w:val="00DC0FA3"/>
    <w:pPr>
      <w:spacing w:before="0"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DC0FA3"/>
    <w:rPr>
      <w:rFonts w:ascii="Arial" w:hAnsi="Arial"/>
      <w:sz w:val="20"/>
      <w:szCs w:val="20"/>
    </w:rPr>
  </w:style>
  <w:style w:type="character" w:styleId="Znakapoznpodarou">
    <w:name w:val="footnote reference"/>
    <w:basedOn w:val="Standardnpsmoodstavce"/>
    <w:uiPriority w:val="99"/>
    <w:semiHidden/>
    <w:unhideWhenUsed/>
    <w:rsid w:val="00DC0FA3"/>
    <w:rPr>
      <w:vertAlign w:val="superscript"/>
    </w:rPr>
  </w:style>
  <w:style w:type="character" w:styleId="Zstupntext">
    <w:name w:val="Placeholder Text"/>
    <w:basedOn w:val="Standardnpsmoodstavce"/>
    <w:uiPriority w:val="99"/>
    <w:semiHidden/>
    <w:rsid w:val="00DB7766"/>
    <w:rPr>
      <w:color w:val="808080"/>
    </w:rPr>
  </w:style>
  <w:style w:type="paragraph" w:styleId="Textbubliny">
    <w:name w:val="Balloon Text"/>
    <w:basedOn w:val="Normln"/>
    <w:link w:val="TextbublinyChar"/>
    <w:uiPriority w:val="99"/>
    <w:semiHidden/>
    <w:unhideWhenUsed/>
    <w:rsid w:val="005A5A64"/>
    <w:pPr>
      <w:spacing w:before="0"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5A5A6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361307">
      <w:bodyDiv w:val="1"/>
      <w:marLeft w:val="0"/>
      <w:marRight w:val="0"/>
      <w:marTop w:val="0"/>
      <w:marBottom w:val="0"/>
      <w:divBdr>
        <w:top w:val="none" w:sz="0" w:space="0" w:color="auto"/>
        <w:left w:val="none" w:sz="0" w:space="0" w:color="auto"/>
        <w:bottom w:val="none" w:sz="0" w:space="0" w:color="auto"/>
        <w:right w:val="none" w:sz="0" w:space="0" w:color="auto"/>
      </w:divBdr>
    </w:div>
    <w:div w:id="142162619">
      <w:bodyDiv w:val="1"/>
      <w:marLeft w:val="0"/>
      <w:marRight w:val="0"/>
      <w:marTop w:val="0"/>
      <w:marBottom w:val="0"/>
      <w:divBdr>
        <w:top w:val="none" w:sz="0" w:space="0" w:color="auto"/>
        <w:left w:val="none" w:sz="0" w:space="0" w:color="auto"/>
        <w:bottom w:val="none" w:sz="0" w:space="0" w:color="auto"/>
        <w:right w:val="none" w:sz="0" w:space="0" w:color="auto"/>
      </w:divBdr>
    </w:div>
    <w:div w:id="147668790">
      <w:bodyDiv w:val="1"/>
      <w:marLeft w:val="0"/>
      <w:marRight w:val="0"/>
      <w:marTop w:val="0"/>
      <w:marBottom w:val="0"/>
      <w:divBdr>
        <w:top w:val="none" w:sz="0" w:space="0" w:color="auto"/>
        <w:left w:val="none" w:sz="0" w:space="0" w:color="auto"/>
        <w:bottom w:val="none" w:sz="0" w:space="0" w:color="auto"/>
        <w:right w:val="none" w:sz="0" w:space="0" w:color="auto"/>
      </w:divBdr>
    </w:div>
    <w:div w:id="168983106">
      <w:bodyDiv w:val="1"/>
      <w:marLeft w:val="0"/>
      <w:marRight w:val="0"/>
      <w:marTop w:val="0"/>
      <w:marBottom w:val="0"/>
      <w:divBdr>
        <w:top w:val="none" w:sz="0" w:space="0" w:color="auto"/>
        <w:left w:val="none" w:sz="0" w:space="0" w:color="auto"/>
        <w:bottom w:val="none" w:sz="0" w:space="0" w:color="auto"/>
        <w:right w:val="none" w:sz="0" w:space="0" w:color="auto"/>
      </w:divBdr>
    </w:div>
    <w:div w:id="208763580">
      <w:bodyDiv w:val="1"/>
      <w:marLeft w:val="0"/>
      <w:marRight w:val="0"/>
      <w:marTop w:val="0"/>
      <w:marBottom w:val="0"/>
      <w:divBdr>
        <w:top w:val="none" w:sz="0" w:space="0" w:color="auto"/>
        <w:left w:val="none" w:sz="0" w:space="0" w:color="auto"/>
        <w:bottom w:val="none" w:sz="0" w:space="0" w:color="auto"/>
        <w:right w:val="none" w:sz="0" w:space="0" w:color="auto"/>
      </w:divBdr>
    </w:div>
    <w:div w:id="214388775">
      <w:bodyDiv w:val="1"/>
      <w:marLeft w:val="0"/>
      <w:marRight w:val="0"/>
      <w:marTop w:val="0"/>
      <w:marBottom w:val="0"/>
      <w:divBdr>
        <w:top w:val="none" w:sz="0" w:space="0" w:color="auto"/>
        <w:left w:val="none" w:sz="0" w:space="0" w:color="auto"/>
        <w:bottom w:val="none" w:sz="0" w:space="0" w:color="auto"/>
        <w:right w:val="none" w:sz="0" w:space="0" w:color="auto"/>
      </w:divBdr>
    </w:div>
    <w:div w:id="218371798">
      <w:bodyDiv w:val="1"/>
      <w:marLeft w:val="0"/>
      <w:marRight w:val="0"/>
      <w:marTop w:val="0"/>
      <w:marBottom w:val="0"/>
      <w:divBdr>
        <w:top w:val="none" w:sz="0" w:space="0" w:color="auto"/>
        <w:left w:val="none" w:sz="0" w:space="0" w:color="auto"/>
        <w:bottom w:val="none" w:sz="0" w:space="0" w:color="auto"/>
        <w:right w:val="none" w:sz="0" w:space="0" w:color="auto"/>
      </w:divBdr>
    </w:div>
    <w:div w:id="252472584">
      <w:bodyDiv w:val="1"/>
      <w:marLeft w:val="0"/>
      <w:marRight w:val="0"/>
      <w:marTop w:val="0"/>
      <w:marBottom w:val="0"/>
      <w:divBdr>
        <w:top w:val="none" w:sz="0" w:space="0" w:color="auto"/>
        <w:left w:val="none" w:sz="0" w:space="0" w:color="auto"/>
        <w:bottom w:val="none" w:sz="0" w:space="0" w:color="auto"/>
        <w:right w:val="none" w:sz="0" w:space="0" w:color="auto"/>
      </w:divBdr>
    </w:div>
    <w:div w:id="267935994">
      <w:bodyDiv w:val="1"/>
      <w:marLeft w:val="0"/>
      <w:marRight w:val="0"/>
      <w:marTop w:val="0"/>
      <w:marBottom w:val="0"/>
      <w:divBdr>
        <w:top w:val="none" w:sz="0" w:space="0" w:color="auto"/>
        <w:left w:val="none" w:sz="0" w:space="0" w:color="auto"/>
        <w:bottom w:val="none" w:sz="0" w:space="0" w:color="auto"/>
        <w:right w:val="none" w:sz="0" w:space="0" w:color="auto"/>
      </w:divBdr>
    </w:div>
    <w:div w:id="277951485">
      <w:bodyDiv w:val="1"/>
      <w:marLeft w:val="0"/>
      <w:marRight w:val="0"/>
      <w:marTop w:val="0"/>
      <w:marBottom w:val="0"/>
      <w:divBdr>
        <w:top w:val="none" w:sz="0" w:space="0" w:color="auto"/>
        <w:left w:val="none" w:sz="0" w:space="0" w:color="auto"/>
        <w:bottom w:val="none" w:sz="0" w:space="0" w:color="auto"/>
        <w:right w:val="none" w:sz="0" w:space="0" w:color="auto"/>
      </w:divBdr>
    </w:div>
    <w:div w:id="341592962">
      <w:bodyDiv w:val="1"/>
      <w:marLeft w:val="0"/>
      <w:marRight w:val="0"/>
      <w:marTop w:val="0"/>
      <w:marBottom w:val="0"/>
      <w:divBdr>
        <w:top w:val="none" w:sz="0" w:space="0" w:color="auto"/>
        <w:left w:val="none" w:sz="0" w:space="0" w:color="auto"/>
        <w:bottom w:val="none" w:sz="0" w:space="0" w:color="auto"/>
        <w:right w:val="none" w:sz="0" w:space="0" w:color="auto"/>
      </w:divBdr>
    </w:div>
    <w:div w:id="358049629">
      <w:bodyDiv w:val="1"/>
      <w:marLeft w:val="0"/>
      <w:marRight w:val="0"/>
      <w:marTop w:val="0"/>
      <w:marBottom w:val="0"/>
      <w:divBdr>
        <w:top w:val="none" w:sz="0" w:space="0" w:color="auto"/>
        <w:left w:val="none" w:sz="0" w:space="0" w:color="auto"/>
        <w:bottom w:val="none" w:sz="0" w:space="0" w:color="auto"/>
        <w:right w:val="none" w:sz="0" w:space="0" w:color="auto"/>
      </w:divBdr>
    </w:div>
    <w:div w:id="428506063">
      <w:bodyDiv w:val="1"/>
      <w:marLeft w:val="0"/>
      <w:marRight w:val="0"/>
      <w:marTop w:val="0"/>
      <w:marBottom w:val="0"/>
      <w:divBdr>
        <w:top w:val="none" w:sz="0" w:space="0" w:color="auto"/>
        <w:left w:val="none" w:sz="0" w:space="0" w:color="auto"/>
        <w:bottom w:val="none" w:sz="0" w:space="0" w:color="auto"/>
        <w:right w:val="none" w:sz="0" w:space="0" w:color="auto"/>
      </w:divBdr>
    </w:div>
    <w:div w:id="531068265">
      <w:bodyDiv w:val="1"/>
      <w:marLeft w:val="0"/>
      <w:marRight w:val="0"/>
      <w:marTop w:val="0"/>
      <w:marBottom w:val="0"/>
      <w:divBdr>
        <w:top w:val="none" w:sz="0" w:space="0" w:color="auto"/>
        <w:left w:val="none" w:sz="0" w:space="0" w:color="auto"/>
        <w:bottom w:val="none" w:sz="0" w:space="0" w:color="auto"/>
        <w:right w:val="none" w:sz="0" w:space="0" w:color="auto"/>
      </w:divBdr>
    </w:div>
    <w:div w:id="541133414">
      <w:bodyDiv w:val="1"/>
      <w:marLeft w:val="0"/>
      <w:marRight w:val="0"/>
      <w:marTop w:val="0"/>
      <w:marBottom w:val="0"/>
      <w:divBdr>
        <w:top w:val="none" w:sz="0" w:space="0" w:color="auto"/>
        <w:left w:val="none" w:sz="0" w:space="0" w:color="auto"/>
        <w:bottom w:val="none" w:sz="0" w:space="0" w:color="auto"/>
        <w:right w:val="none" w:sz="0" w:space="0" w:color="auto"/>
      </w:divBdr>
    </w:div>
    <w:div w:id="584648979">
      <w:bodyDiv w:val="1"/>
      <w:marLeft w:val="0"/>
      <w:marRight w:val="0"/>
      <w:marTop w:val="0"/>
      <w:marBottom w:val="0"/>
      <w:divBdr>
        <w:top w:val="none" w:sz="0" w:space="0" w:color="auto"/>
        <w:left w:val="none" w:sz="0" w:space="0" w:color="auto"/>
        <w:bottom w:val="none" w:sz="0" w:space="0" w:color="auto"/>
        <w:right w:val="none" w:sz="0" w:space="0" w:color="auto"/>
      </w:divBdr>
    </w:div>
    <w:div w:id="586227227">
      <w:bodyDiv w:val="1"/>
      <w:marLeft w:val="0"/>
      <w:marRight w:val="0"/>
      <w:marTop w:val="0"/>
      <w:marBottom w:val="0"/>
      <w:divBdr>
        <w:top w:val="none" w:sz="0" w:space="0" w:color="auto"/>
        <w:left w:val="none" w:sz="0" w:space="0" w:color="auto"/>
        <w:bottom w:val="none" w:sz="0" w:space="0" w:color="auto"/>
        <w:right w:val="none" w:sz="0" w:space="0" w:color="auto"/>
      </w:divBdr>
    </w:div>
    <w:div w:id="636490521">
      <w:bodyDiv w:val="1"/>
      <w:marLeft w:val="0"/>
      <w:marRight w:val="0"/>
      <w:marTop w:val="0"/>
      <w:marBottom w:val="0"/>
      <w:divBdr>
        <w:top w:val="none" w:sz="0" w:space="0" w:color="auto"/>
        <w:left w:val="none" w:sz="0" w:space="0" w:color="auto"/>
        <w:bottom w:val="none" w:sz="0" w:space="0" w:color="auto"/>
        <w:right w:val="none" w:sz="0" w:space="0" w:color="auto"/>
      </w:divBdr>
    </w:div>
    <w:div w:id="647130205">
      <w:bodyDiv w:val="1"/>
      <w:marLeft w:val="0"/>
      <w:marRight w:val="0"/>
      <w:marTop w:val="0"/>
      <w:marBottom w:val="0"/>
      <w:divBdr>
        <w:top w:val="none" w:sz="0" w:space="0" w:color="auto"/>
        <w:left w:val="none" w:sz="0" w:space="0" w:color="auto"/>
        <w:bottom w:val="none" w:sz="0" w:space="0" w:color="auto"/>
        <w:right w:val="none" w:sz="0" w:space="0" w:color="auto"/>
      </w:divBdr>
    </w:div>
    <w:div w:id="674306574">
      <w:bodyDiv w:val="1"/>
      <w:marLeft w:val="0"/>
      <w:marRight w:val="0"/>
      <w:marTop w:val="0"/>
      <w:marBottom w:val="0"/>
      <w:divBdr>
        <w:top w:val="none" w:sz="0" w:space="0" w:color="auto"/>
        <w:left w:val="none" w:sz="0" w:space="0" w:color="auto"/>
        <w:bottom w:val="none" w:sz="0" w:space="0" w:color="auto"/>
        <w:right w:val="none" w:sz="0" w:space="0" w:color="auto"/>
      </w:divBdr>
    </w:div>
    <w:div w:id="720252329">
      <w:bodyDiv w:val="1"/>
      <w:marLeft w:val="0"/>
      <w:marRight w:val="0"/>
      <w:marTop w:val="0"/>
      <w:marBottom w:val="0"/>
      <w:divBdr>
        <w:top w:val="none" w:sz="0" w:space="0" w:color="auto"/>
        <w:left w:val="none" w:sz="0" w:space="0" w:color="auto"/>
        <w:bottom w:val="none" w:sz="0" w:space="0" w:color="auto"/>
        <w:right w:val="none" w:sz="0" w:space="0" w:color="auto"/>
      </w:divBdr>
    </w:div>
    <w:div w:id="722950097">
      <w:bodyDiv w:val="1"/>
      <w:marLeft w:val="0"/>
      <w:marRight w:val="0"/>
      <w:marTop w:val="0"/>
      <w:marBottom w:val="0"/>
      <w:divBdr>
        <w:top w:val="none" w:sz="0" w:space="0" w:color="auto"/>
        <w:left w:val="none" w:sz="0" w:space="0" w:color="auto"/>
        <w:bottom w:val="none" w:sz="0" w:space="0" w:color="auto"/>
        <w:right w:val="none" w:sz="0" w:space="0" w:color="auto"/>
      </w:divBdr>
    </w:div>
    <w:div w:id="742531590">
      <w:bodyDiv w:val="1"/>
      <w:marLeft w:val="0"/>
      <w:marRight w:val="0"/>
      <w:marTop w:val="0"/>
      <w:marBottom w:val="0"/>
      <w:divBdr>
        <w:top w:val="none" w:sz="0" w:space="0" w:color="auto"/>
        <w:left w:val="none" w:sz="0" w:space="0" w:color="auto"/>
        <w:bottom w:val="none" w:sz="0" w:space="0" w:color="auto"/>
        <w:right w:val="none" w:sz="0" w:space="0" w:color="auto"/>
      </w:divBdr>
    </w:div>
    <w:div w:id="836651496">
      <w:bodyDiv w:val="1"/>
      <w:marLeft w:val="0"/>
      <w:marRight w:val="0"/>
      <w:marTop w:val="0"/>
      <w:marBottom w:val="0"/>
      <w:divBdr>
        <w:top w:val="none" w:sz="0" w:space="0" w:color="auto"/>
        <w:left w:val="none" w:sz="0" w:space="0" w:color="auto"/>
        <w:bottom w:val="none" w:sz="0" w:space="0" w:color="auto"/>
        <w:right w:val="none" w:sz="0" w:space="0" w:color="auto"/>
      </w:divBdr>
    </w:div>
    <w:div w:id="836967225">
      <w:bodyDiv w:val="1"/>
      <w:marLeft w:val="0"/>
      <w:marRight w:val="0"/>
      <w:marTop w:val="0"/>
      <w:marBottom w:val="0"/>
      <w:divBdr>
        <w:top w:val="none" w:sz="0" w:space="0" w:color="auto"/>
        <w:left w:val="none" w:sz="0" w:space="0" w:color="auto"/>
        <w:bottom w:val="none" w:sz="0" w:space="0" w:color="auto"/>
        <w:right w:val="none" w:sz="0" w:space="0" w:color="auto"/>
      </w:divBdr>
    </w:div>
    <w:div w:id="914358886">
      <w:bodyDiv w:val="1"/>
      <w:marLeft w:val="0"/>
      <w:marRight w:val="0"/>
      <w:marTop w:val="0"/>
      <w:marBottom w:val="0"/>
      <w:divBdr>
        <w:top w:val="none" w:sz="0" w:space="0" w:color="auto"/>
        <w:left w:val="none" w:sz="0" w:space="0" w:color="auto"/>
        <w:bottom w:val="none" w:sz="0" w:space="0" w:color="auto"/>
        <w:right w:val="none" w:sz="0" w:space="0" w:color="auto"/>
      </w:divBdr>
    </w:div>
    <w:div w:id="948853162">
      <w:bodyDiv w:val="1"/>
      <w:marLeft w:val="0"/>
      <w:marRight w:val="0"/>
      <w:marTop w:val="0"/>
      <w:marBottom w:val="0"/>
      <w:divBdr>
        <w:top w:val="none" w:sz="0" w:space="0" w:color="auto"/>
        <w:left w:val="none" w:sz="0" w:space="0" w:color="auto"/>
        <w:bottom w:val="none" w:sz="0" w:space="0" w:color="auto"/>
        <w:right w:val="none" w:sz="0" w:space="0" w:color="auto"/>
      </w:divBdr>
    </w:div>
    <w:div w:id="1000498609">
      <w:bodyDiv w:val="1"/>
      <w:marLeft w:val="0"/>
      <w:marRight w:val="0"/>
      <w:marTop w:val="0"/>
      <w:marBottom w:val="0"/>
      <w:divBdr>
        <w:top w:val="none" w:sz="0" w:space="0" w:color="auto"/>
        <w:left w:val="none" w:sz="0" w:space="0" w:color="auto"/>
        <w:bottom w:val="none" w:sz="0" w:space="0" w:color="auto"/>
        <w:right w:val="none" w:sz="0" w:space="0" w:color="auto"/>
      </w:divBdr>
    </w:div>
    <w:div w:id="1005128259">
      <w:bodyDiv w:val="1"/>
      <w:marLeft w:val="0"/>
      <w:marRight w:val="0"/>
      <w:marTop w:val="0"/>
      <w:marBottom w:val="0"/>
      <w:divBdr>
        <w:top w:val="none" w:sz="0" w:space="0" w:color="auto"/>
        <w:left w:val="none" w:sz="0" w:space="0" w:color="auto"/>
        <w:bottom w:val="none" w:sz="0" w:space="0" w:color="auto"/>
        <w:right w:val="none" w:sz="0" w:space="0" w:color="auto"/>
      </w:divBdr>
    </w:div>
    <w:div w:id="1053428609">
      <w:bodyDiv w:val="1"/>
      <w:marLeft w:val="0"/>
      <w:marRight w:val="0"/>
      <w:marTop w:val="0"/>
      <w:marBottom w:val="0"/>
      <w:divBdr>
        <w:top w:val="none" w:sz="0" w:space="0" w:color="auto"/>
        <w:left w:val="none" w:sz="0" w:space="0" w:color="auto"/>
        <w:bottom w:val="none" w:sz="0" w:space="0" w:color="auto"/>
        <w:right w:val="none" w:sz="0" w:space="0" w:color="auto"/>
      </w:divBdr>
    </w:div>
    <w:div w:id="1055733873">
      <w:bodyDiv w:val="1"/>
      <w:marLeft w:val="0"/>
      <w:marRight w:val="0"/>
      <w:marTop w:val="0"/>
      <w:marBottom w:val="0"/>
      <w:divBdr>
        <w:top w:val="none" w:sz="0" w:space="0" w:color="auto"/>
        <w:left w:val="none" w:sz="0" w:space="0" w:color="auto"/>
        <w:bottom w:val="none" w:sz="0" w:space="0" w:color="auto"/>
        <w:right w:val="none" w:sz="0" w:space="0" w:color="auto"/>
      </w:divBdr>
    </w:div>
    <w:div w:id="1188253890">
      <w:bodyDiv w:val="1"/>
      <w:marLeft w:val="0"/>
      <w:marRight w:val="0"/>
      <w:marTop w:val="0"/>
      <w:marBottom w:val="0"/>
      <w:divBdr>
        <w:top w:val="none" w:sz="0" w:space="0" w:color="auto"/>
        <w:left w:val="none" w:sz="0" w:space="0" w:color="auto"/>
        <w:bottom w:val="none" w:sz="0" w:space="0" w:color="auto"/>
        <w:right w:val="none" w:sz="0" w:space="0" w:color="auto"/>
      </w:divBdr>
    </w:div>
    <w:div w:id="1231574495">
      <w:bodyDiv w:val="1"/>
      <w:marLeft w:val="0"/>
      <w:marRight w:val="0"/>
      <w:marTop w:val="0"/>
      <w:marBottom w:val="0"/>
      <w:divBdr>
        <w:top w:val="none" w:sz="0" w:space="0" w:color="auto"/>
        <w:left w:val="none" w:sz="0" w:space="0" w:color="auto"/>
        <w:bottom w:val="none" w:sz="0" w:space="0" w:color="auto"/>
        <w:right w:val="none" w:sz="0" w:space="0" w:color="auto"/>
      </w:divBdr>
    </w:div>
    <w:div w:id="1305085486">
      <w:bodyDiv w:val="1"/>
      <w:marLeft w:val="0"/>
      <w:marRight w:val="0"/>
      <w:marTop w:val="0"/>
      <w:marBottom w:val="0"/>
      <w:divBdr>
        <w:top w:val="none" w:sz="0" w:space="0" w:color="auto"/>
        <w:left w:val="none" w:sz="0" w:space="0" w:color="auto"/>
        <w:bottom w:val="none" w:sz="0" w:space="0" w:color="auto"/>
        <w:right w:val="none" w:sz="0" w:space="0" w:color="auto"/>
      </w:divBdr>
    </w:div>
    <w:div w:id="1325549188">
      <w:bodyDiv w:val="1"/>
      <w:marLeft w:val="0"/>
      <w:marRight w:val="0"/>
      <w:marTop w:val="0"/>
      <w:marBottom w:val="0"/>
      <w:divBdr>
        <w:top w:val="none" w:sz="0" w:space="0" w:color="auto"/>
        <w:left w:val="none" w:sz="0" w:space="0" w:color="auto"/>
        <w:bottom w:val="none" w:sz="0" w:space="0" w:color="auto"/>
        <w:right w:val="none" w:sz="0" w:space="0" w:color="auto"/>
      </w:divBdr>
    </w:div>
    <w:div w:id="1377850718">
      <w:bodyDiv w:val="1"/>
      <w:marLeft w:val="0"/>
      <w:marRight w:val="0"/>
      <w:marTop w:val="0"/>
      <w:marBottom w:val="0"/>
      <w:divBdr>
        <w:top w:val="none" w:sz="0" w:space="0" w:color="auto"/>
        <w:left w:val="none" w:sz="0" w:space="0" w:color="auto"/>
        <w:bottom w:val="none" w:sz="0" w:space="0" w:color="auto"/>
        <w:right w:val="none" w:sz="0" w:space="0" w:color="auto"/>
      </w:divBdr>
    </w:div>
    <w:div w:id="1441998269">
      <w:bodyDiv w:val="1"/>
      <w:marLeft w:val="0"/>
      <w:marRight w:val="0"/>
      <w:marTop w:val="0"/>
      <w:marBottom w:val="0"/>
      <w:divBdr>
        <w:top w:val="none" w:sz="0" w:space="0" w:color="auto"/>
        <w:left w:val="none" w:sz="0" w:space="0" w:color="auto"/>
        <w:bottom w:val="none" w:sz="0" w:space="0" w:color="auto"/>
        <w:right w:val="none" w:sz="0" w:space="0" w:color="auto"/>
      </w:divBdr>
    </w:div>
    <w:div w:id="1464349189">
      <w:bodyDiv w:val="1"/>
      <w:marLeft w:val="0"/>
      <w:marRight w:val="0"/>
      <w:marTop w:val="0"/>
      <w:marBottom w:val="0"/>
      <w:divBdr>
        <w:top w:val="none" w:sz="0" w:space="0" w:color="auto"/>
        <w:left w:val="none" w:sz="0" w:space="0" w:color="auto"/>
        <w:bottom w:val="none" w:sz="0" w:space="0" w:color="auto"/>
        <w:right w:val="none" w:sz="0" w:space="0" w:color="auto"/>
      </w:divBdr>
    </w:div>
    <w:div w:id="1559710330">
      <w:bodyDiv w:val="1"/>
      <w:marLeft w:val="0"/>
      <w:marRight w:val="0"/>
      <w:marTop w:val="0"/>
      <w:marBottom w:val="0"/>
      <w:divBdr>
        <w:top w:val="none" w:sz="0" w:space="0" w:color="auto"/>
        <w:left w:val="none" w:sz="0" w:space="0" w:color="auto"/>
        <w:bottom w:val="none" w:sz="0" w:space="0" w:color="auto"/>
        <w:right w:val="none" w:sz="0" w:space="0" w:color="auto"/>
      </w:divBdr>
    </w:div>
    <w:div w:id="1566181347">
      <w:bodyDiv w:val="1"/>
      <w:marLeft w:val="0"/>
      <w:marRight w:val="0"/>
      <w:marTop w:val="0"/>
      <w:marBottom w:val="0"/>
      <w:divBdr>
        <w:top w:val="none" w:sz="0" w:space="0" w:color="auto"/>
        <w:left w:val="none" w:sz="0" w:space="0" w:color="auto"/>
        <w:bottom w:val="none" w:sz="0" w:space="0" w:color="auto"/>
        <w:right w:val="none" w:sz="0" w:space="0" w:color="auto"/>
      </w:divBdr>
    </w:div>
    <w:div w:id="1651787183">
      <w:bodyDiv w:val="1"/>
      <w:marLeft w:val="0"/>
      <w:marRight w:val="0"/>
      <w:marTop w:val="0"/>
      <w:marBottom w:val="0"/>
      <w:divBdr>
        <w:top w:val="none" w:sz="0" w:space="0" w:color="auto"/>
        <w:left w:val="none" w:sz="0" w:space="0" w:color="auto"/>
        <w:bottom w:val="none" w:sz="0" w:space="0" w:color="auto"/>
        <w:right w:val="none" w:sz="0" w:space="0" w:color="auto"/>
      </w:divBdr>
    </w:div>
    <w:div w:id="1676758773">
      <w:bodyDiv w:val="1"/>
      <w:marLeft w:val="0"/>
      <w:marRight w:val="0"/>
      <w:marTop w:val="0"/>
      <w:marBottom w:val="0"/>
      <w:divBdr>
        <w:top w:val="none" w:sz="0" w:space="0" w:color="auto"/>
        <w:left w:val="none" w:sz="0" w:space="0" w:color="auto"/>
        <w:bottom w:val="none" w:sz="0" w:space="0" w:color="auto"/>
        <w:right w:val="none" w:sz="0" w:space="0" w:color="auto"/>
      </w:divBdr>
    </w:div>
    <w:div w:id="1714844388">
      <w:bodyDiv w:val="1"/>
      <w:marLeft w:val="0"/>
      <w:marRight w:val="0"/>
      <w:marTop w:val="0"/>
      <w:marBottom w:val="0"/>
      <w:divBdr>
        <w:top w:val="none" w:sz="0" w:space="0" w:color="auto"/>
        <w:left w:val="none" w:sz="0" w:space="0" w:color="auto"/>
        <w:bottom w:val="none" w:sz="0" w:space="0" w:color="auto"/>
        <w:right w:val="none" w:sz="0" w:space="0" w:color="auto"/>
      </w:divBdr>
    </w:div>
    <w:div w:id="1788115966">
      <w:bodyDiv w:val="1"/>
      <w:marLeft w:val="0"/>
      <w:marRight w:val="0"/>
      <w:marTop w:val="0"/>
      <w:marBottom w:val="0"/>
      <w:divBdr>
        <w:top w:val="none" w:sz="0" w:space="0" w:color="auto"/>
        <w:left w:val="none" w:sz="0" w:space="0" w:color="auto"/>
        <w:bottom w:val="none" w:sz="0" w:space="0" w:color="auto"/>
        <w:right w:val="none" w:sz="0" w:space="0" w:color="auto"/>
      </w:divBdr>
    </w:div>
    <w:div w:id="1802305725">
      <w:bodyDiv w:val="1"/>
      <w:marLeft w:val="0"/>
      <w:marRight w:val="0"/>
      <w:marTop w:val="0"/>
      <w:marBottom w:val="0"/>
      <w:divBdr>
        <w:top w:val="none" w:sz="0" w:space="0" w:color="auto"/>
        <w:left w:val="none" w:sz="0" w:space="0" w:color="auto"/>
        <w:bottom w:val="none" w:sz="0" w:space="0" w:color="auto"/>
        <w:right w:val="none" w:sz="0" w:space="0" w:color="auto"/>
      </w:divBdr>
    </w:div>
    <w:div w:id="1816488654">
      <w:bodyDiv w:val="1"/>
      <w:marLeft w:val="0"/>
      <w:marRight w:val="0"/>
      <w:marTop w:val="0"/>
      <w:marBottom w:val="0"/>
      <w:divBdr>
        <w:top w:val="none" w:sz="0" w:space="0" w:color="auto"/>
        <w:left w:val="none" w:sz="0" w:space="0" w:color="auto"/>
        <w:bottom w:val="none" w:sz="0" w:space="0" w:color="auto"/>
        <w:right w:val="none" w:sz="0" w:space="0" w:color="auto"/>
      </w:divBdr>
    </w:div>
    <w:div w:id="1818691541">
      <w:bodyDiv w:val="1"/>
      <w:marLeft w:val="0"/>
      <w:marRight w:val="0"/>
      <w:marTop w:val="0"/>
      <w:marBottom w:val="0"/>
      <w:divBdr>
        <w:top w:val="none" w:sz="0" w:space="0" w:color="auto"/>
        <w:left w:val="none" w:sz="0" w:space="0" w:color="auto"/>
        <w:bottom w:val="none" w:sz="0" w:space="0" w:color="auto"/>
        <w:right w:val="none" w:sz="0" w:space="0" w:color="auto"/>
      </w:divBdr>
    </w:div>
    <w:div w:id="1880822293">
      <w:bodyDiv w:val="1"/>
      <w:marLeft w:val="0"/>
      <w:marRight w:val="0"/>
      <w:marTop w:val="0"/>
      <w:marBottom w:val="0"/>
      <w:divBdr>
        <w:top w:val="none" w:sz="0" w:space="0" w:color="auto"/>
        <w:left w:val="none" w:sz="0" w:space="0" w:color="auto"/>
        <w:bottom w:val="none" w:sz="0" w:space="0" w:color="auto"/>
        <w:right w:val="none" w:sz="0" w:space="0" w:color="auto"/>
      </w:divBdr>
    </w:div>
    <w:div w:id="1994020626">
      <w:bodyDiv w:val="1"/>
      <w:marLeft w:val="0"/>
      <w:marRight w:val="0"/>
      <w:marTop w:val="0"/>
      <w:marBottom w:val="0"/>
      <w:divBdr>
        <w:top w:val="none" w:sz="0" w:space="0" w:color="auto"/>
        <w:left w:val="none" w:sz="0" w:space="0" w:color="auto"/>
        <w:bottom w:val="none" w:sz="0" w:space="0" w:color="auto"/>
        <w:right w:val="none" w:sz="0" w:space="0" w:color="auto"/>
      </w:divBdr>
    </w:div>
    <w:div w:id="2021589438">
      <w:bodyDiv w:val="1"/>
      <w:marLeft w:val="0"/>
      <w:marRight w:val="0"/>
      <w:marTop w:val="0"/>
      <w:marBottom w:val="0"/>
      <w:divBdr>
        <w:top w:val="none" w:sz="0" w:space="0" w:color="auto"/>
        <w:left w:val="none" w:sz="0" w:space="0" w:color="auto"/>
        <w:bottom w:val="none" w:sz="0" w:space="0" w:color="auto"/>
        <w:right w:val="none" w:sz="0" w:space="0" w:color="auto"/>
      </w:divBdr>
    </w:div>
    <w:div w:id="2037656936">
      <w:bodyDiv w:val="1"/>
      <w:marLeft w:val="0"/>
      <w:marRight w:val="0"/>
      <w:marTop w:val="0"/>
      <w:marBottom w:val="0"/>
      <w:divBdr>
        <w:top w:val="none" w:sz="0" w:space="0" w:color="auto"/>
        <w:left w:val="none" w:sz="0" w:space="0" w:color="auto"/>
        <w:bottom w:val="none" w:sz="0" w:space="0" w:color="auto"/>
        <w:right w:val="none" w:sz="0" w:space="0" w:color="auto"/>
      </w:divBdr>
    </w:div>
    <w:div w:id="2136168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1.xml"/><Relationship Id="rId21" Type="http://schemas.openxmlformats.org/officeDocument/2006/relationships/image" Target="media/image5.jpeg"/><Relationship Id="rId34" Type="http://schemas.openxmlformats.org/officeDocument/2006/relationships/image" Target="media/image6.png"/><Relationship Id="rId42" Type="http://schemas.openxmlformats.org/officeDocument/2006/relationships/image" Target="media/image13.png"/><Relationship Id="rId47" Type="http://schemas.openxmlformats.org/officeDocument/2006/relationships/image" Target="media/image17.jpeg"/><Relationship Id="rId50" Type="http://schemas.openxmlformats.org/officeDocument/2006/relationships/image" Target="media/image20.png"/><Relationship Id="rId55" Type="http://schemas.openxmlformats.org/officeDocument/2006/relationships/image" Target="media/image25.emf"/><Relationship Id="rId63"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chart" Target="charts/chart14.xml"/><Relationship Id="rId11" Type="http://schemas.openxmlformats.org/officeDocument/2006/relationships/hyperlink" Target="http://www.bres.cz" TargetMode="External"/><Relationship Id="rId24" Type="http://schemas.openxmlformats.org/officeDocument/2006/relationships/chart" Target="charts/chart9.xml"/><Relationship Id="rId32" Type="http://schemas.openxmlformats.org/officeDocument/2006/relationships/chart" Target="charts/chart17.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5.jpeg"/><Relationship Id="rId53" Type="http://schemas.openxmlformats.org/officeDocument/2006/relationships/image" Target="media/image23.emf"/><Relationship Id="rId58" Type="http://schemas.openxmlformats.org/officeDocument/2006/relationships/image" Target="media/image28.emf"/><Relationship Id="rId5" Type="http://schemas.openxmlformats.org/officeDocument/2006/relationships/webSettings" Target="webSettings.xml"/><Relationship Id="rId61" Type="http://schemas.openxmlformats.org/officeDocument/2006/relationships/chart" Target="charts/chart20.xml"/><Relationship Id="rId19" Type="http://schemas.openxmlformats.org/officeDocument/2006/relationships/image" Target="media/image3.jpeg"/><Relationship Id="rId14" Type="http://schemas.openxmlformats.org/officeDocument/2006/relationships/chart" Target="charts/chart2.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image" Target="media/image7.png"/><Relationship Id="rId43" Type="http://schemas.openxmlformats.org/officeDocument/2006/relationships/image" Target="media/image14.png"/><Relationship Id="rId48" Type="http://schemas.openxmlformats.org/officeDocument/2006/relationships/image" Target="media/image18.jpeg"/><Relationship Id="rId56" Type="http://schemas.openxmlformats.org/officeDocument/2006/relationships/image" Target="media/image26.png"/><Relationship Id="rId64" Type="http://schemas.openxmlformats.org/officeDocument/2006/relationships/fontTable" Target="fontTable.xml"/><Relationship Id="rId8" Type="http://schemas.openxmlformats.org/officeDocument/2006/relationships/image" Target="media/image1.gif"/><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chart" Target="charts/chart5.xml"/><Relationship Id="rId25" Type="http://schemas.openxmlformats.org/officeDocument/2006/relationships/chart" Target="charts/chart10.xml"/><Relationship Id="rId33" Type="http://schemas.openxmlformats.org/officeDocument/2006/relationships/chart" Target="charts/chart18.xml"/><Relationship Id="rId38" Type="http://schemas.openxmlformats.org/officeDocument/2006/relationships/image" Target="media/image10.png"/><Relationship Id="rId46" Type="http://schemas.openxmlformats.org/officeDocument/2006/relationships/image" Target="media/image16.jpeg"/><Relationship Id="rId59" Type="http://schemas.openxmlformats.org/officeDocument/2006/relationships/chart" Target="charts/chart19.xml"/><Relationship Id="rId20" Type="http://schemas.openxmlformats.org/officeDocument/2006/relationships/image" Target="media/image4.jpeg"/><Relationship Id="rId41" Type="http://schemas.microsoft.com/office/2007/relationships/hdphoto" Target="media/hdphoto1.wdp"/><Relationship Id="rId54" Type="http://schemas.openxmlformats.org/officeDocument/2006/relationships/image" Target="media/image24.emf"/><Relationship Id="rId62" Type="http://schemas.openxmlformats.org/officeDocument/2006/relationships/hyperlink" Target="https://www.energie21.cz/kogenerace-prispiva-k-decentralizaci-zdroj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image" Target="media/image8.jpeg"/><Relationship Id="rId49" Type="http://schemas.openxmlformats.org/officeDocument/2006/relationships/image" Target="media/image19.png"/><Relationship Id="rId57" Type="http://schemas.openxmlformats.org/officeDocument/2006/relationships/image" Target="media/image27.emf"/><Relationship Id="rId10" Type="http://schemas.openxmlformats.org/officeDocument/2006/relationships/footer" Target="footer1.xml"/><Relationship Id="rId31" Type="http://schemas.openxmlformats.org/officeDocument/2006/relationships/chart" Target="charts/chart16.xml"/><Relationship Id="rId44" Type="http://schemas.openxmlformats.org/officeDocument/2006/relationships/footer" Target="footer2.xml"/><Relationship Id="rId52" Type="http://schemas.openxmlformats.org/officeDocument/2006/relationships/image" Target="media/image22.emf"/><Relationship Id="rId60" Type="http://schemas.openxmlformats.org/officeDocument/2006/relationships/image" Target="media/image29.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chart" Target="charts/chart1.xml"/><Relationship Id="rId18" Type="http://schemas.openxmlformats.org/officeDocument/2006/relationships/chart" Target="charts/chart6.xml"/><Relationship Id="rId39" Type="http://schemas.openxmlformats.org/officeDocument/2006/relationships/image" Target="media/image11.png"/></Relationships>
</file>

<file path=word/charts/_rels/chart1.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Podklady\P&#345;ijat&#233;\2020_11_20_Luky_Ne&#269;as\BILANCE_plyn_m&#283;s&#237;&#269;n&#237;.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Podklady\P&#345;ijat&#233;\2020_11_20_Luky_Ne&#269;as\BILANCE_el_energie_bilance.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Podklady\P&#345;ijat&#233;\2020_11_20_Luky_Ne&#269;as\BILANCE_el_energie_bila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Podklady\P&#345;ijat&#233;\2020_11_20_Luky_Ne&#269;as\BILANCE_el_energie_bila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el_energie_bilance.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el_energie_bilance.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el_energie_bilance.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el_energie_bila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el_energie_bilance.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el_energie_bilance.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Finan&#269;n&#237;%20anal&#253;za%20final.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Podklady\P&#345;ijat&#233;\2020_11_20_Luky_Ne&#269;as\BILANCE_plyn_m&#283;s&#237;&#269;n&#237;.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Finan&#269;n&#237;%20anal&#253;za%20final_s_dotac&#237;.xlsx" TargetMode="External"/><Relationship Id="rId2" Type="http://schemas.microsoft.com/office/2011/relationships/chartColorStyle" Target="colors20.xml"/><Relationship Id="rId1" Type="http://schemas.microsoft.com/office/2011/relationships/chartStyle" Target="style20.xml"/></Relationships>
</file>

<file path=word/charts/_rels/chart3.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plyn_m&#283;s&#237;&#269;n&#237;.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plyn_m&#283;s&#237;&#269;n&#237;.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plyn_m&#283;s&#237;&#269;n&#237;.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EDIT\V&#253;po&#269;ty\BILANCE_plyn_m&#283;s&#237;&#269;n&#237;.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Podklady\P&#345;ijat&#233;\2020_11_20_Luky_Ne&#269;as\BILANCE_el_energie_bila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Podklady\P&#345;ijat&#233;\2020_11_20_Luky_Ne&#269;as\BILANCE_el_energie_bila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192.168.0.1\Dokumenty\Zak&#225;zky\____B0540%20-%20SAV%20-%20Praha%20-%20&#268;NB\Podklady\P&#345;ijat&#233;\2020_11_20_Luky_Ne&#269;as\BILANCE_el_energie_bilance.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Měsíční</a:t>
            </a:r>
            <a:r>
              <a:rPr lang="cs-CZ" baseline="0"/>
              <a:t> spotřeby tepla 2019</a:t>
            </a:r>
            <a:endParaRPr lang="cs-CZ"/>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Měsíční_bilance_2019!$C$1:$N$1</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tx>
          <c:spPr>
            <a:solidFill>
              <a:srgbClr val="C00000"/>
            </a:solidFill>
            <a:ln>
              <a:noFill/>
            </a:ln>
            <a:effectLst/>
          </c:spPr>
          <c:invertIfNegative val="0"/>
          <c:cat>
            <c:strRef>
              <c:f>Měsíční_bilance_2019!$C$1:$N$1</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Měsíční_bilance_2019!$C$4:$N$4</c:f>
              <c:numCache>
                <c:formatCode>0.0</c:formatCode>
                <c:ptCount val="12"/>
                <c:pt idx="0">
                  <c:v>748.48789600000009</c:v>
                </c:pt>
                <c:pt idx="1">
                  <c:v>553.60112200000003</c:v>
                </c:pt>
                <c:pt idx="2">
                  <c:v>432.16935600000005</c:v>
                </c:pt>
                <c:pt idx="3">
                  <c:v>291.79147799999998</c:v>
                </c:pt>
                <c:pt idx="4">
                  <c:v>241.75704800000003</c:v>
                </c:pt>
                <c:pt idx="5">
                  <c:v>46.171442000000006</c:v>
                </c:pt>
                <c:pt idx="6">
                  <c:v>39.144297999999999</c:v>
                </c:pt>
                <c:pt idx="7">
                  <c:v>37.620456000000004</c:v>
                </c:pt>
                <c:pt idx="8">
                  <c:v>42.298748000000003</c:v>
                </c:pt>
                <c:pt idx="9">
                  <c:v>297.64419600000002</c:v>
                </c:pt>
                <c:pt idx="10">
                  <c:v>428.85961000000003</c:v>
                </c:pt>
                <c:pt idx="11">
                  <c:v>544.9919000000001</c:v>
                </c:pt>
              </c:numCache>
            </c:numRef>
          </c:val>
          <c:extLst>
            <c:ext xmlns:c16="http://schemas.microsoft.com/office/drawing/2014/chart" uri="{C3380CC4-5D6E-409C-BE32-E72D297353CC}">
              <c16:uniqueId val="{00000000-9235-4BF5-AC25-AD9E851DE5D2}"/>
            </c:ext>
          </c:extLst>
        </c:ser>
        <c:dLbls>
          <c:showLegendKey val="0"/>
          <c:showVal val="0"/>
          <c:showCatName val="0"/>
          <c:showSerName val="0"/>
          <c:showPercent val="0"/>
          <c:showBubbleSize val="0"/>
        </c:dLbls>
        <c:gapWidth val="219"/>
        <c:overlap val="-27"/>
        <c:axId val="2005079535"/>
        <c:axId val="2005078287"/>
      </c:barChart>
      <c:catAx>
        <c:axId val="20050795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2005078287"/>
        <c:crosses val="autoZero"/>
        <c:auto val="1"/>
        <c:lblAlgn val="ctr"/>
        <c:lblOffset val="100"/>
        <c:noMultiLvlLbl val="0"/>
      </c:catAx>
      <c:valAx>
        <c:axId val="20050782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Vyrobené teplo </a:t>
                </a:r>
                <a:r>
                  <a:rPr lang="cs-CZ" sz="1100" baseline="0"/>
                  <a:t>(</a:t>
                </a:r>
                <a:r>
                  <a:rPr lang="el-GR" sz="1100" baseline="0"/>
                  <a:t>η</a:t>
                </a:r>
                <a:r>
                  <a:rPr lang="cs-CZ" sz="1100" baseline="0"/>
                  <a:t> = 92 %) </a:t>
                </a:r>
                <a:r>
                  <a:rPr lang="en-US" sz="1100" baseline="0"/>
                  <a:t>[</a:t>
                </a:r>
                <a:r>
                  <a:rPr lang="cs-CZ" sz="1100" baseline="0"/>
                  <a:t>MWh</a:t>
                </a:r>
                <a:r>
                  <a:rPr lang="en-US" sz="1100" baseline="0"/>
                  <a:t>]</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200507953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r>
              <a:rPr lang="cs-CZ" sz="1150"/>
              <a:t>Měsíční dodávka chladu a spotřeba el.</a:t>
            </a:r>
            <a:r>
              <a:rPr lang="cs-CZ" sz="1150" baseline="0"/>
              <a:t> energie</a:t>
            </a:r>
            <a:r>
              <a:rPr lang="cs-CZ" sz="1150"/>
              <a:t> 2020 (zdroj chladu 2)</a:t>
            </a:r>
          </a:p>
        </c:rich>
      </c:tx>
      <c:layout/>
      <c:overlay val="0"/>
      <c:spPr>
        <a:noFill/>
        <a:ln>
          <a:noFill/>
        </a:ln>
        <a:effectLst/>
      </c:spPr>
      <c:txPr>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'el_ch1 a ch2 měsíční 19+20'!$T$12</c:f>
              <c:strCache>
                <c:ptCount val="1"/>
                <c:pt idx="0">
                  <c:v>chlad dodaný do soustavy</c:v>
                </c:pt>
              </c:strCache>
            </c:strRef>
          </c:tx>
          <c:spPr>
            <a:solidFill>
              <a:srgbClr val="00B0F0"/>
            </a:solidFill>
            <a:ln>
              <a:solidFill>
                <a:srgbClr val="00B0F0"/>
              </a:solidFill>
            </a:ln>
            <a:effectLst/>
          </c:spPr>
          <c:invertIfNegative val="0"/>
          <c:cat>
            <c:strRef>
              <c:f>'el_ch1 a ch2 měsíční 19+20'!$A$105:$A$112</c:f>
              <c:strCache>
                <c:ptCount val="8"/>
                <c:pt idx="0">
                  <c:v>leden</c:v>
                </c:pt>
                <c:pt idx="1">
                  <c:v>únor</c:v>
                </c:pt>
                <c:pt idx="2">
                  <c:v>březen</c:v>
                </c:pt>
                <c:pt idx="3">
                  <c:v>duben</c:v>
                </c:pt>
                <c:pt idx="4">
                  <c:v>květen</c:v>
                </c:pt>
                <c:pt idx="5">
                  <c:v>červen</c:v>
                </c:pt>
                <c:pt idx="6">
                  <c:v>červenec</c:v>
                </c:pt>
                <c:pt idx="7">
                  <c:v>srpen</c:v>
                </c:pt>
              </c:strCache>
            </c:strRef>
          </c:cat>
          <c:val>
            <c:numRef>
              <c:f>'el_ch1 a ch2 měsíční 19+20'!$G$105:$G$112</c:f>
              <c:numCache>
                <c:formatCode>0</c:formatCode>
                <c:ptCount val="8"/>
                <c:pt idx="0">
                  <c:v>71.944444444444443</c:v>
                </c:pt>
                <c:pt idx="1">
                  <c:v>49.166666666666664</c:v>
                </c:pt>
                <c:pt idx="2">
                  <c:v>53.333333333333329</c:v>
                </c:pt>
                <c:pt idx="3">
                  <c:v>65.277777777777771</c:v>
                </c:pt>
                <c:pt idx="4">
                  <c:v>58.611111111111107</c:v>
                </c:pt>
                <c:pt idx="5">
                  <c:v>102.22222222222221</c:v>
                </c:pt>
                <c:pt idx="6">
                  <c:v>116.66666666666666</c:v>
                </c:pt>
                <c:pt idx="7">
                  <c:v>101.94444444444444</c:v>
                </c:pt>
              </c:numCache>
            </c:numRef>
          </c:val>
          <c:extLst>
            <c:ext xmlns:c16="http://schemas.microsoft.com/office/drawing/2014/chart" uri="{C3380CC4-5D6E-409C-BE32-E72D297353CC}">
              <c16:uniqueId val="{00000000-7531-4916-9537-DF159E1869B8}"/>
            </c:ext>
          </c:extLst>
        </c:ser>
        <c:ser>
          <c:idx val="1"/>
          <c:order val="1"/>
          <c:tx>
            <c:strRef>
              <c:f>'el_ch1 a ch2 měsíční 19+20'!$T$13</c:f>
              <c:strCache>
                <c:ptCount val="1"/>
                <c:pt idx="0">
                  <c:v>el. energie spotřebovaná</c:v>
                </c:pt>
              </c:strCache>
            </c:strRef>
          </c:tx>
          <c:spPr>
            <a:solidFill>
              <a:srgbClr val="B17029"/>
            </a:solidFill>
            <a:ln>
              <a:noFill/>
            </a:ln>
            <a:effectLst/>
          </c:spPr>
          <c:invertIfNegative val="0"/>
          <c:val>
            <c:numRef>
              <c:f>'el_ch1 a ch2 měsíční 19+20'!$D$105:$D$112</c:f>
              <c:numCache>
                <c:formatCode>#,##0</c:formatCode>
                <c:ptCount val="8"/>
                <c:pt idx="0">
                  <c:v>10.24</c:v>
                </c:pt>
                <c:pt idx="1">
                  <c:v>12.48</c:v>
                </c:pt>
                <c:pt idx="2">
                  <c:v>15.04</c:v>
                </c:pt>
                <c:pt idx="3">
                  <c:v>25.6</c:v>
                </c:pt>
                <c:pt idx="4">
                  <c:v>17.28</c:v>
                </c:pt>
                <c:pt idx="5">
                  <c:v>5.12</c:v>
                </c:pt>
                <c:pt idx="6">
                  <c:v>4.8</c:v>
                </c:pt>
                <c:pt idx="7">
                  <c:v>3.84</c:v>
                </c:pt>
              </c:numCache>
            </c:numRef>
          </c:val>
          <c:extLst>
            <c:ext xmlns:c16="http://schemas.microsoft.com/office/drawing/2014/chart" uri="{C3380CC4-5D6E-409C-BE32-E72D297353CC}">
              <c16:uniqueId val="{00000001-7531-4916-9537-DF159E1869B8}"/>
            </c:ext>
          </c:extLst>
        </c:ser>
        <c:dLbls>
          <c:showLegendKey val="0"/>
          <c:showVal val="0"/>
          <c:showCatName val="0"/>
          <c:showSerName val="0"/>
          <c:showPercent val="0"/>
          <c:showBubbleSize val="0"/>
        </c:dLbls>
        <c:gapWidth val="219"/>
        <c:overlap val="-27"/>
        <c:axId val="1068046511"/>
        <c:axId val="1068037775"/>
      </c:barChart>
      <c:catAx>
        <c:axId val="10680465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8037775"/>
        <c:crosses val="autoZero"/>
        <c:auto val="1"/>
        <c:lblAlgn val="ctr"/>
        <c:lblOffset val="100"/>
        <c:noMultiLvlLbl val="0"/>
      </c:catAx>
      <c:valAx>
        <c:axId val="1068037775"/>
        <c:scaling>
          <c:orientation val="minMax"/>
          <c:max val="1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Energie </a:t>
                </a:r>
                <a:r>
                  <a:rPr lang="en-US" sz="1100"/>
                  <a:t>[</a:t>
                </a:r>
                <a:r>
                  <a:rPr lang="cs-CZ" sz="1100"/>
                  <a:t>MWh</a:t>
                </a:r>
                <a:r>
                  <a:rPr lang="en-US" sz="1100"/>
                  <a:t>]</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8046511"/>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r>
              <a:rPr lang="cs-CZ" sz="1150"/>
              <a:t>Denní dodávka chladu a spotřeba el. energie</a:t>
            </a:r>
            <a:r>
              <a:rPr lang="cs-CZ" sz="1150" baseline="0"/>
              <a:t> červenec 2020 (zdroj chladu 1)</a:t>
            </a:r>
            <a:endParaRPr lang="cs-CZ" sz="1150"/>
          </a:p>
        </c:rich>
      </c:tx>
      <c:layout/>
      <c:overlay val="0"/>
      <c:spPr>
        <a:noFill/>
        <a:ln>
          <a:noFill/>
        </a:ln>
        <a:effectLst/>
      </c:spPr>
      <c:txPr>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Chlad1_denní!$G$2</c:f>
              <c:strCache>
                <c:ptCount val="1"/>
                <c:pt idx="0">
                  <c:v>chlad dodaný do soustavy</c:v>
                </c:pt>
              </c:strCache>
            </c:strRef>
          </c:tx>
          <c:spPr>
            <a:solidFill>
              <a:schemeClr val="accent1"/>
            </a:solidFill>
            <a:ln>
              <a:noFill/>
            </a:ln>
            <a:effectLst/>
          </c:spPr>
          <c:invertIfNegative val="0"/>
          <c:cat>
            <c:numRef>
              <c:f>Chlad1_denní!$A$2:$A$32</c:f>
              <c:numCache>
                <c:formatCode>m/d/yyyy</c:formatCode>
                <c:ptCount val="31"/>
                <c:pt idx="0">
                  <c:v>44013</c:v>
                </c:pt>
                <c:pt idx="1">
                  <c:v>44014</c:v>
                </c:pt>
                <c:pt idx="2">
                  <c:v>44015</c:v>
                </c:pt>
                <c:pt idx="3">
                  <c:v>44016</c:v>
                </c:pt>
                <c:pt idx="4">
                  <c:v>44017</c:v>
                </c:pt>
                <c:pt idx="5">
                  <c:v>44018</c:v>
                </c:pt>
                <c:pt idx="6">
                  <c:v>44019</c:v>
                </c:pt>
                <c:pt idx="7">
                  <c:v>44020</c:v>
                </c:pt>
                <c:pt idx="8">
                  <c:v>44021</c:v>
                </c:pt>
                <c:pt idx="9">
                  <c:v>44022</c:v>
                </c:pt>
                <c:pt idx="10">
                  <c:v>44023</c:v>
                </c:pt>
                <c:pt idx="11">
                  <c:v>44024</c:v>
                </c:pt>
                <c:pt idx="12">
                  <c:v>44025</c:v>
                </c:pt>
                <c:pt idx="13">
                  <c:v>44026</c:v>
                </c:pt>
                <c:pt idx="14">
                  <c:v>44027</c:v>
                </c:pt>
                <c:pt idx="15">
                  <c:v>44028</c:v>
                </c:pt>
                <c:pt idx="16">
                  <c:v>44029</c:v>
                </c:pt>
                <c:pt idx="17">
                  <c:v>44030</c:v>
                </c:pt>
                <c:pt idx="18">
                  <c:v>44031</c:v>
                </c:pt>
                <c:pt idx="19">
                  <c:v>44032</c:v>
                </c:pt>
                <c:pt idx="20">
                  <c:v>44033</c:v>
                </c:pt>
                <c:pt idx="21">
                  <c:v>44034</c:v>
                </c:pt>
                <c:pt idx="22">
                  <c:v>44035</c:v>
                </c:pt>
                <c:pt idx="23">
                  <c:v>44036</c:v>
                </c:pt>
                <c:pt idx="24">
                  <c:v>44037</c:v>
                </c:pt>
                <c:pt idx="25">
                  <c:v>44038</c:v>
                </c:pt>
                <c:pt idx="26">
                  <c:v>44039</c:v>
                </c:pt>
                <c:pt idx="27">
                  <c:v>44040</c:v>
                </c:pt>
                <c:pt idx="28">
                  <c:v>44041</c:v>
                </c:pt>
                <c:pt idx="29">
                  <c:v>44042</c:v>
                </c:pt>
                <c:pt idx="30">
                  <c:v>44043</c:v>
                </c:pt>
              </c:numCache>
            </c:numRef>
          </c:cat>
          <c:val>
            <c:numRef>
              <c:f>Chlad1_denní!$C$2:$C$32</c:f>
              <c:numCache>
                <c:formatCode>0.0</c:formatCode>
                <c:ptCount val="31"/>
                <c:pt idx="0">
                  <c:v>10.888888888888586</c:v>
                </c:pt>
                <c:pt idx="1">
                  <c:v>12.444444444444747</c:v>
                </c:pt>
                <c:pt idx="2">
                  <c:v>9.7222222222222214</c:v>
                </c:pt>
                <c:pt idx="3">
                  <c:v>5.861111111111212</c:v>
                </c:pt>
                <c:pt idx="4">
                  <c:v>6.4444444444441409</c:v>
                </c:pt>
                <c:pt idx="5">
                  <c:v>7.2777777777779793</c:v>
                </c:pt>
                <c:pt idx="6">
                  <c:v>7.3888888888889896</c:v>
                </c:pt>
                <c:pt idx="7">
                  <c:v>6.9166666666665657</c:v>
                </c:pt>
                <c:pt idx="8">
                  <c:v>7.2222222222222223</c:v>
                </c:pt>
                <c:pt idx="9">
                  <c:v>11.083333333333233</c:v>
                </c:pt>
                <c:pt idx="10">
                  <c:v>5.388888888888788</c:v>
                </c:pt>
                <c:pt idx="11">
                  <c:v>5.1388888888888884</c:v>
                </c:pt>
                <c:pt idx="12">
                  <c:v>7.6388888888888884</c:v>
                </c:pt>
                <c:pt idx="13">
                  <c:v>8.361111111111212</c:v>
                </c:pt>
                <c:pt idx="14">
                  <c:v>8.38888888888909</c:v>
                </c:pt>
                <c:pt idx="15">
                  <c:v>5.6944444444444446</c:v>
                </c:pt>
                <c:pt idx="16">
                  <c:v>7.2222222222222223</c:v>
                </c:pt>
                <c:pt idx="17">
                  <c:v>4.4999999999996971</c:v>
                </c:pt>
                <c:pt idx="18">
                  <c:v>4.9444444444447475</c:v>
                </c:pt>
                <c:pt idx="19">
                  <c:v>10</c:v>
                </c:pt>
                <c:pt idx="20">
                  <c:v>9.0277777777777768</c:v>
                </c:pt>
                <c:pt idx="21">
                  <c:v>8.75</c:v>
                </c:pt>
                <c:pt idx="22">
                  <c:v>8.6111111111111107</c:v>
                </c:pt>
                <c:pt idx="23">
                  <c:v>8.5277777777774748</c:v>
                </c:pt>
                <c:pt idx="24">
                  <c:v>5.833333333333333</c:v>
                </c:pt>
                <c:pt idx="25">
                  <c:v>5.5277777777776764</c:v>
                </c:pt>
                <c:pt idx="26">
                  <c:v>10</c:v>
                </c:pt>
                <c:pt idx="27">
                  <c:v>12.277777777777979</c:v>
                </c:pt>
                <c:pt idx="28">
                  <c:v>11.277777777777878</c:v>
                </c:pt>
                <c:pt idx="29">
                  <c:v>10.833333333333334</c:v>
                </c:pt>
                <c:pt idx="30">
                  <c:v>11.138888888888991</c:v>
                </c:pt>
              </c:numCache>
            </c:numRef>
          </c:val>
          <c:extLst>
            <c:ext xmlns:c16="http://schemas.microsoft.com/office/drawing/2014/chart" uri="{C3380CC4-5D6E-409C-BE32-E72D297353CC}">
              <c16:uniqueId val="{00000000-7A2B-459B-911D-B5DC7A0B4C92}"/>
            </c:ext>
          </c:extLst>
        </c:ser>
        <c:ser>
          <c:idx val="1"/>
          <c:order val="1"/>
          <c:tx>
            <c:strRef>
              <c:f>Chlad1_denní!$G$3</c:f>
              <c:strCache>
                <c:ptCount val="1"/>
                <c:pt idx="0">
                  <c:v>el. energie spotřebovaná</c:v>
                </c:pt>
              </c:strCache>
            </c:strRef>
          </c:tx>
          <c:spPr>
            <a:solidFill>
              <a:srgbClr val="B17029"/>
            </a:solidFill>
            <a:ln>
              <a:noFill/>
            </a:ln>
            <a:effectLst/>
          </c:spPr>
          <c:invertIfNegative val="0"/>
          <c:val>
            <c:numRef>
              <c:f>Chlad1_denní!$E$2:$E$32</c:f>
              <c:numCache>
                <c:formatCode>0.0</c:formatCode>
                <c:ptCount val="31"/>
                <c:pt idx="0">
                  <c:v>3.6973999999999068</c:v>
                </c:pt>
                <c:pt idx="1">
                  <c:v>4.1073999999999069</c:v>
                </c:pt>
                <c:pt idx="2">
                  <c:v>3.0666999999999534</c:v>
                </c:pt>
                <c:pt idx="3">
                  <c:v>1.8854000000001396</c:v>
                </c:pt>
                <c:pt idx="4">
                  <c:v>2.1678999999999067</c:v>
                </c:pt>
                <c:pt idx="5">
                  <c:v>2.3523000000002794</c:v>
                </c:pt>
                <c:pt idx="6">
                  <c:v>2.2397999999998137</c:v>
                </c:pt>
                <c:pt idx="7">
                  <c:v>2.0467999999998137</c:v>
                </c:pt>
                <c:pt idx="8">
                  <c:v>2.2454000000003727</c:v>
                </c:pt>
                <c:pt idx="9">
                  <c:v>4.0468999999999067</c:v>
                </c:pt>
                <c:pt idx="10">
                  <c:v>1.7163999999999069</c:v>
                </c:pt>
                <c:pt idx="11">
                  <c:v>1.6093999999999069</c:v>
                </c:pt>
                <c:pt idx="12">
                  <c:v>2.3373000000000466</c:v>
                </c:pt>
                <c:pt idx="13">
                  <c:v>2.6758000000000464</c:v>
                </c:pt>
                <c:pt idx="14">
                  <c:v>2.6387999999998137</c:v>
                </c:pt>
                <c:pt idx="15">
                  <c:v>2.1249000000003724</c:v>
                </c:pt>
                <c:pt idx="16">
                  <c:v>1.9306999999997205</c:v>
                </c:pt>
                <c:pt idx="17">
                  <c:v>1.459600000000093</c:v>
                </c:pt>
                <c:pt idx="18">
                  <c:v>1.5837000000001862</c:v>
                </c:pt>
                <c:pt idx="19">
                  <c:v>3.4621999999997204</c:v>
                </c:pt>
                <c:pt idx="20">
                  <c:v>3.0933000000000463</c:v>
                </c:pt>
                <c:pt idx="21">
                  <c:v>2.8729000000001399</c:v>
                </c:pt>
                <c:pt idx="22">
                  <c:v>2.8586999999999536</c:v>
                </c:pt>
                <c:pt idx="23">
                  <c:v>2.8833000000000464</c:v>
                </c:pt>
                <c:pt idx="24">
                  <c:v>1.9145999999998602</c:v>
                </c:pt>
                <c:pt idx="25">
                  <c:v>1.7496999999999534</c:v>
                </c:pt>
                <c:pt idx="26">
                  <c:v>3.4711000000000931</c:v>
                </c:pt>
                <c:pt idx="27">
                  <c:v>4.6597999999998141</c:v>
                </c:pt>
                <c:pt idx="28">
                  <c:v>3.8188000000002793</c:v>
                </c:pt>
                <c:pt idx="29">
                  <c:v>3.5776999999997208</c:v>
                </c:pt>
                <c:pt idx="30">
                  <c:v>3.7512000000001864</c:v>
                </c:pt>
              </c:numCache>
            </c:numRef>
          </c:val>
          <c:extLst>
            <c:ext xmlns:c16="http://schemas.microsoft.com/office/drawing/2014/chart" uri="{C3380CC4-5D6E-409C-BE32-E72D297353CC}">
              <c16:uniqueId val="{00000001-7A2B-459B-911D-B5DC7A0B4C92}"/>
            </c:ext>
          </c:extLst>
        </c:ser>
        <c:dLbls>
          <c:showLegendKey val="0"/>
          <c:showVal val="0"/>
          <c:showCatName val="0"/>
          <c:showSerName val="0"/>
          <c:showPercent val="0"/>
          <c:showBubbleSize val="0"/>
        </c:dLbls>
        <c:gapWidth val="219"/>
        <c:overlap val="-27"/>
        <c:axId val="1063746831"/>
        <c:axId val="1063739343"/>
      </c:barChart>
      <c:dateAx>
        <c:axId val="1063746831"/>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3739343"/>
        <c:crosses val="autoZero"/>
        <c:auto val="1"/>
        <c:lblOffset val="100"/>
        <c:baseTimeUnit val="days"/>
      </c:dateAx>
      <c:valAx>
        <c:axId val="106373934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Energie </a:t>
                </a:r>
                <a:r>
                  <a:rPr lang="en-US" sz="1100"/>
                  <a:t>[</a:t>
                </a:r>
                <a:r>
                  <a:rPr lang="cs-CZ" sz="1100"/>
                  <a:t>MWh</a:t>
                </a:r>
                <a:r>
                  <a:rPr lang="en-US" sz="1100"/>
                  <a:t>]</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3746831"/>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r>
              <a:rPr lang="cs-CZ" sz="1150"/>
              <a:t>Denní dodávka chladu a spotřeba el. energie</a:t>
            </a:r>
            <a:r>
              <a:rPr lang="cs-CZ" sz="1150" baseline="0"/>
              <a:t> červenec 2020 (zdroj chladu 2)</a:t>
            </a:r>
            <a:endParaRPr lang="cs-CZ" sz="1150"/>
          </a:p>
        </c:rich>
      </c:tx>
      <c:layout/>
      <c:overlay val="0"/>
      <c:spPr>
        <a:noFill/>
        <a:ln>
          <a:noFill/>
        </a:ln>
        <a:effectLst/>
      </c:spPr>
      <c:txPr>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Chlad1_denní!$G$2</c:f>
              <c:strCache>
                <c:ptCount val="1"/>
                <c:pt idx="0">
                  <c:v>chlad dodaný do soustavy</c:v>
                </c:pt>
              </c:strCache>
            </c:strRef>
          </c:tx>
          <c:spPr>
            <a:solidFill>
              <a:schemeClr val="accent1"/>
            </a:solidFill>
            <a:ln>
              <a:noFill/>
            </a:ln>
            <a:effectLst/>
          </c:spPr>
          <c:invertIfNegative val="0"/>
          <c:cat>
            <c:numRef>
              <c:f>Chlad1_denní!$A$2:$A$32</c:f>
              <c:numCache>
                <c:formatCode>m/d/yyyy</c:formatCode>
                <c:ptCount val="31"/>
                <c:pt idx="0">
                  <c:v>44013</c:v>
                </c:pt>
                <c:pt idx="1">
                  <c:v>44014</c:v>
                </c:pt>
                <c:pt idx="2">
                  <c:v>44015</c:v>
                </c:pt>
                <c:pt idx="3">
                  <c:v>44016</c:v>
                </c:pt>
                <c:pt idx="4">
                  <c:v>44017</c:v>
                </c:pt>
                <c:pt idx="5">
                  <c:v>44018</c:v>
                </c:pt>
                <c:pt idx="6">
                  <c:v>44019</c:v>
                </c:pt>
                <c:pt idx="7">
                  <c:v>44020</c:v>
                </c:pt>
                <c:pt idx="8">
                  <c:v>44021</c:v>
                </c:pt>
                <c:pt idx="9">
                  <c:v>44022</c:v>
                </c:pt>
                <c:pt idx="10">
                  <c:v>44023</c:v>
                </c:pt>
                <c:pt idx="11">
                  <c:v>44024</c:v>
                </c:pt>
                <c:pt idx="12">
                  <c:v>44025</c:v>
                </c:pt>
                <c:pt idx="13">
                  <c:v>44026</c:v>
                </c:pt>
                <c:pt idx="14">
                  <c:v>44027</c:v>
                </c:pt>
                <c:pt idx="15">
                  <c:v>44028</c:v>
                </c:pt>
                <c:pt idx="16">
                  <c:v>44029</c:v>
                </c:pt>
                <c:pt idx="17">
                  <c:v>44030</c:v>
                </c:pt>
                <c:pt idx="18">
                  <c:v>44031</c:v>
                </c:pt>
                <c:pt idx="19">
                  <c:v>44032</c:v>
                </c:pt>
                <c:pt idx="20">
                  <c:v>44033</c:v>
                </c:pt>
                <c:pt idx="21">
                  <c:v>44034</c:v>
                </c:pt>
                <c:pt idx="22">
                  <c:v>44035</c:v>
                </c:pt>
                <c:pt idx="23">
                  <c:v>44036</c:v>
                </c:pt>
                <c:pt idx="24">
                  <c:v>44037</c:v>
                </c:pt>
                <c:pt idx="25">
                  <c:v>44038</c:v>
                </c:pt>
                <c:pt idx="26">
                  <c:v>44039</c:v>
                </c:pt>
                <c:pt idx="27">
                  <c:v>44040</c:v>
                </c:pt>
                <c:pt idx="28">
                  <c:v>44041</c:v>
                </c:pt>
                <c:pt idx="29">
                  <c:v>44042</c:v>
                </c:pt>
                <c:pt idx="30">
                  <c:v>44043</c:v>
                </c:pt>
              </c:numCache>
            </c:numRef>
          </c:cat>
          <c:val>
            <c:numRef>
              <c:f>Chlad2_denní!$C$2:$C$32</c:f>
              <c:numCache>
                <c:formatCode>0.0</c:formatCode>
                <c:ptCount val="31"/>
                <c:pt idx="0">
                  <c:v>4.2161111111110783</c:v>
                </c:pt>
                <c:pt idx="1">
                  <c:v>4.5938888888890181</c:v>
                </c:pt>
                <c:pt idx="2">
                  <c:v>4.1963888888898913</c:v>
                </c:pt>
                <c:pt idx="3">
                  <c:v>2.5938888888857843</c:v>
                </c:pt>
                <c:pt idx="4">
                  <c:v>3.7222222222246475</c:v>
                </c:pt>
                <c:pt idx="5">
                  <c:v>3.8874999999987065</c:v>
                </c:pt>
                <c:pt idx="6">
                  <c:v>2.9725000000002586</c:v>
                </c:pt>
                <c:pt idx="7">
                  <c:v>3.2408333333336889</c:v>
                </c:pt>
                <c:pt idx="8">
                  <c:v>3.2344444444445091</c:v>
                </c:pt>
                <c:pt idx="9">
                  <c:v>3.9569444444431507</c:v>
                </c:pt>
                <c:pt idx="10">
                  <c:v>3.1400000000010349</c:v>
                </c:pt>
                <c:pt idx="11">
                  <c:v>2.2919444444414694</c:v>
                </c:pt>
                <c:pt idx="12">
                  <c:v>3.5158333333351441</c:v>
                </c:pt>
                <c:pt idx="13">
                  <c:v>3.5313888888898264</c:v>
                </c:pt>
                <c:pt idx="14">
                  <c:v>3.5466666666656641</c:v>
                </c:pt>
                <c:pt idx="15">
                  <c:v>2.9466666666687362</c:v>
                </c:pt>
                <c:pt idx="16">
                  <c:v>2.8786111111104318</c:v>
                </c:pt>
                <c:pt idx="17">
                  <c:v>2.4805555555536154</c:v>
                </c:pt>
                <c:pt idx="18">
                  <c:v>2.5066666666680248</c:v>
                </c:pt>
                <c:pt idx="19">
                  <c:v>3.7486111111138598</c:v>
                </c:pt>
                <c:pt idx="20">
                  <c:v>4.0016666666633682</c:v>
                </c:pt>
                <c:pt idx="21">
                  <c:v>3.5511111111110139</c:v>
                </c:pt>
                <c:pt idx="22">
                  <c:v>3.5502777777785215</c:v>
                </c:pt>
                <c:pt idx="23">
                  <c:v>3.5666666666656965</c:v>
                </c:pt>
                <c:pt idx="24">
                  <c:v>3.4586111111113698</c:v>
                </c:pt>
                <c:pt idx="25">
                  <c:v>2.8922222222253264</c:v>
                </c:pt>
                <c:pt idx="26">
                  <c:v>3.8763888888853315</c:v>
                </c:pt>
                <c:pt idx="27">
                  <c:v>4.5477777777786184</c:v>
                </c:pt>
                <c:pt idx="28">
                  <c:v>4.5291666666687682</c:v>
                </c:pt>
                <c:pt idx="29">
                  <c:v>4.5038888888868511</c:v>
                </c:pt>
                <c:pt idx="30">
                  <c:v>3.9436111111111432</c:v>
                </c:pt>
              </c:numCache>
            </c:numRef>
          </c:val>
          <c:extLst>
            <c:ext xmlns:c16="http://schemas.microsoft.com/office/drawing/2014/chart" uri="{C3380CC4-5D6E-409C-BE32-E72D297353CC}">
              <c16:uniqueId val="{00000000-625A-4E28-A9DD-DB6E946C76EB}"/>
            </c:ext>
          </c:extLst>
        </c:ser>
        <c:ser>
          <c:idx val="1"/>
          <c:order val="1"/>
          <c:tx>
            <c:strRef>
              <c:f>Chlad1_denní!$G$3</c:f>
              <c:strCache>
                <c:ptCount val="1"/>
                <c:pt idx="0">
                  <c:v>el. energie spotřebovaná</c:v>
                </c:pt>
              </c:strCache>
            </c:strRef>
          </c:tx>
          <c:spPr>
            <a:solidFill>
              <a:srgbClr val="B17029"/>
            </a:solidFill>
            <a:ln>
              <a:noFill/>
            </a:ln>
            <a:effectLst/>
          </c:spPr>
          <c:invertIfNegative val="0"/>
          <c:val>
            <c:numRef>
              <c:f>Chlad2_denní!$E$2:$E$32</c:f>
              <c:numCache>
                <c:formatCode>0.0</c:formatCode>
                <c:ptCount val="31"/>
                <c:pt idx="0">
                  <c:v>0.16</c:v>
                </c:pt>
                <c:pt idx="1">
                  <c:v>0.192</c:v>
                </c:pt>
                <c:pt idx="2">
                  <c:v>0.16</c:v>
                </c:pt>
                <c:pt idx="3">
                  <c:v>0.16</c:v>
                </c:pt>
                <c:pt idx="4">
                  <c:v>0.16</c:v>
                </c:pt>
                <c:pt idx="5">
                  <c:v>0.16</c:v>
                </c:pt>
                <c:pt idx="6">
                  <c:v>0.192</c:v>
                </c:pt>
                <c:pt idx="7">
                  <c:v>0.16</c:v>
                </c:pt>
                <c:pt idx="8">
                  <c:v>0.16</c:v>
                </c:pt>
                <c:pt idx="9">
                  <c:v>0.16</c:v>
                </c:pt>
                <c:pt idx="10">
                  <c:v>0.16</c:v>
                </c:pt>
                <c:pt idx="11">
                  <c:v>0.16</c:v>
                </c:pt>
                <c:pt idx="12">
                  <c:v>0.128</c:v>
                </c:pt>
                <c:pt idx="13">
                  <c:v>0.16</c:v>
                </c:pt>
                <c:pt idx="14">
                  <c:v>0.128</c:v>
                </c:pt>
                <c:pt idx="15">
                  <c:v>0.16</c:v>
                </c:pt>
                <c:pt idx="16">
                  <c:v>0.128</c:v>
                </c:pt>
                <c:pt idx="17">
                  <c:v>0.128</c:v>
                </c:pt>
                <c:pt idx="18">
                  <c:v>0.16</c:v>
                </c:pt>
                <c:pt idx="19">
                  <c:v>0.128</c:v>
                </c:pt>
                <c:pt idx="20">
                  <c:v>0.128</c:v>
                </c:pt>
                <c:pt idx="21">
                  <c:v>0.16</c:v>
                </c:pt>
                <c:pt idx="22">
                  <c:v>0.128</c:v>
                </c:pt>
                <c:pt idx="23">
                  <c:v>0.16</c:v>
                </c:pt>
                <c:pt idx="24">
                  <c:v>0.128</c:v>
                </c:pt>
                <c:pt idx="25">
                  <c:v>0.128</c:v>
                </c:pt>
                <c:pt idx="26">
                  <c:v>0.16</c:v>
                </c:pt>
                <c:pt idx="27">
                  <c:v>0.128</c:v>
                </c:pt>
                <c:pt idx="28">
                  <c:v>0.16</c:v>
                </c:pt>
                <c:pt idx="29">
                  <c:v>0.128</c:v>
                </c:pt>
                <c:pt idx="30">
                  <c:v>0.16</c:v>
                </c:pt>
              </c:numCache>
            </c:numRef>
          </c:val>
          <c:extLst>
            <c:ext xmlns:c16="http://schemas.microsoft.com/office/drawing/2014/chart" uri="{C3380CC4-5D6E-409C-BE32-E72D297353CC}">
              <c16:uniqueId val="{00000001-625A-4E28-A9DD-DB6E946C76EB}"/>
            </c:ext>
          </c:extLst>
        </c:ser>
        <c:dLbls>
          <c:showLegendKey val="0"/>
          <c:showVal val="0"/>
          <c:showCatName val="0"/>
          <c:showSerName val="0"/>
          <c:showPercent val="0"/>
          <c:showBubbleSize val="0"/>
        </c:dLbls>
        <c:gapWidth val="219"/>
        <c:overlap val="-27"/>
        <c:axId val="1063746831"/>
        <c:axId val="1063739343"/>
      </c:barChart>
      <c:dateAx>
        <c:axId val="1063746831"/>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3739343"/>
        <c:crosses val="autoZero"/>
        <c:auto val="1"/>
        <c:lblOffset val="100"/>
        <c:baseTimeUnit val="days"/>
      </c:dateAx>
      <c:valAx>
        <c:axId val="106373934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Energie </a:t>
                </a:r>
                <a:r>
                  <a:rPr lang="en-US" sz="1100"/>
                  <a:t>[</a:t>
                </a:r>
                <a:r>
                  <a:rPr lang="cs-CZ" sz="1100"/>
                  <a:t>MWh</a:t>
                </a:r>
                <a:r>
                  <a:rPr lang="en-US" sz="1100"/>
                  <a:t>]</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3746831"/>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Měsíční</a:t>
            </a:r>
            <a:r>
              <a:rPr lang="cs-CZ" baseline="0"/>
              <a:t> spotřeby elektrické energie 2019</a:t>
            </a:r>
            <a:endParaRPr lang="cs-CZ"/>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spPr>
            <a:solidFill>
              <a:srgbClr val="B17029"/>
            </a:solidFill>
            <a:ln>
              <a:noFill/>
            </a:ln>
            <a:effectLst/>
          </c:spPr>
          <c:invertIfNegative val="0"/>
          <c:cat>
            <c:strRef>
              <c:f>'el_profil spotř. 2019'!$G$31:$R$31</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'el_profil spotř. 2019'!$G$33:$R$33</c:f>
              <c:numCache>
                <c:formatCode>0.0</c:formatCode>
                <c:ptCount val="12"/>
                <c:pt idx="0">
                  <c:v>405.68774999999999</c:v>
                </c:pt>
                <c:pt idx="1">
                  <c:v>360.40025000000003</c:v>
                </c:pt>
                <c:pt idx="2">
                  <c:v>394.98775000000001</c:v>
                </c:pt>
                <c:pt idx="3">
                  <c:v>384.96875</c:v>
                </c:pt>
                <c:pt idx="4">
                  <c:v>405.27199999999999</c:v>
                </c:pt>
                <c:pt idx="5">
                  <c:v>467.07225</c:v>
                </c:pt>
                <c:pt idx="6">
                  <c:v>461.28550000000001</c:v>
                </c:pt>
                <c:pt idx="7">
                  <c:v>441.45125000000002</c:v>
                </c:pt>
                <c:pt idx="8">
                  <c:v>413.50049999999999</c:v>
                </c:pt>
                <c:pt idx="9">
                  <c:v>423.59424999999999</c:v>
                </c:pt>
                <c:pt idx="10">
                  <c:v>388.82825000000003</c:v>
                </c:pt>
                <c:pt idx="11">
                  <c:v>371.53325000000001</c:v>
                </c:pt>
              </c:numCache>
            </c:numRef>
          </c:val>
          <c:extLst>
            <c:ext xmlns:c16="http://schemas.microsoft.com/office/drawing/2014/chart" uri="{C3380CC4-5D6E-409C-BE32-E72D297353CC}">
              <c16:uniqueId val="{00000000-412A-4D2E-B370-D8D392CD79EF}"/>
            </c:ext>
          </c:extLst>
        </c:ser>
        <c:dLbls>
          <c:showLegendKey val="0"/>
          <c:showVal val="0"/>
          <c:showCatName val="0"/>
          <c:showSerName val="0"/>
          <c:showPercent val="0"/>
          <c:showBubbleSize val="0"/>
        </c:dLbls>
        <c:gapWidth val="219"/>
        <c:overlap val="-27"/>
        <c:axId val="750862568"/>
        <c:axId val="750864208"/>
      </c:barChart>
      <c:catAx>
        <c:axId val="750862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750864208"/>
        <c:crosses val="autoZero"/>
        <c:auto val="1"/>
        <c:lblAlgn val="ctr"/>
        <c:lblOffset val="100"/>
        <c:noMultiLvlLbl val="0"/>
      </c:catAx>
      <c:valAx>
        <c:axId val="750864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Spotřeba elektrické energie </a:t>
                </a:r>
                <a:r>
                  <a:rPr lang="en-US" sz="1100"/>
                  <a:t>[</a:t>
                </a:r>
                <a:r>
                  <a:rPr lang="cs-CZ" sz="1100"/>
                  <a:t>MWh</a:t>
                </a:r>
                <a:r>
                  <a:rPr lang="en-US" sz="1100"/>
                  <a:t>]</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7508625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Měsíční</a:t>
            </a:r>
            <a:r>
              <a:rPr lang="cs-CZ" baseline="0"/>
              <a:t> spotřeby elektrické energie 2020</a:t>
            </a:r>
            <a:endParaRPr lang="cs-CZ"/>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spPr>
            <a:solidFill>
              <a:srgbClr val="B17029"/>
            </a:solidFill>
            <a:ln>
              <a:noFill/>
            </a:ln>
            <a:effectLst/>
          </c:spPr>
          <c:invertIfNegative val="0"/>
          <c:cat>
            <c:strRef>
              <c:f>'el_profil spotř. 2020'!$G$17:$N$17</c:f>
              <c:strCache>
                <c:ptCount val="8"/>
                <c:pt idx="0">
                  <c:v>Leden</c:v>
                </c:pt>
                <c:pt idx="1">
                  <c:v>Únor</c:v>
                </c:pt>
                <c:pt idx="2">
                  <c:v>Březen</c:v>
                </c:pt>
                <c:pt idx="3">
                  <c:v>Duben</c:v>
                </c:pt>
                <c:pt idx="4">
                  <c:v>Květen</c:v>
                </c:pt>
                <c:pt idx="5">
                  <c:v>Červen</c:v>
                </c:pt>
                <c:pt idx="6">
                  <c:v>Červenec</c:v>
                </c:pt>
                <c:pt idx="7">
                  <c:v>Srpen</c:v>
                </c:pt>
              </c:strCache>
            </c:strRef>
          </c:cat>
          <c:val>
            <c:numRef>
              <c:f>'el_profil spotř. 2020'!$G$19:$N$19</c:f>
              <c:numCache>
                <c:formatCode>0.0</c:formatCode>
                <c:ptCount val="8"/>
                <c:pt idx="0">
                  <c:v>396.70825000000002</c:v>
                </c:pt>
                <c:pt idx="1">
                  <c:v>365.40375</c:v>
                </c:pt>
                <c:pt idx="2">
                  <c:v>358.72</c:v>
                </c:pt>
                <c:pt idx="3">
                  <c:v>317.26400000000001</c:v>
                </c:pt>
                <c:pt idx="4">
                  <c:v>345.86574999999999</c:v>
                </c:pt>
                <c:pt idx="5">
                  <c:v>398.42975000000001</c:v>
                </c:pt>
                <c:pt idx="6">
                  <c:v>418.56475</c:v>
                </c:pt>
                <c:pt idx="7">
                  <c:v>429.35050000000001</c:v>
                </c:pt>
              </c:numCache>
            </c:numRef>
          </c:val>
          <c:extLst>
            <c:ext xmlns:c16="http://schemas.microsoft.com/office/drawing/2014/chart" uri="{C3380CC4-5D6E-409C-BE32-E72D297353CC}">
              <c16:uniqueId val="{00000000-3378-412E-A715-3DB705D7930B}"/>
            </c:ext>
          </c:extLst>
        </c:ser>
        <c:dLbls>
          <c:showLegendKey val="0"/>
          <c:showVal val="0"/>
          <c:showCatName val="0"/>
          <c:showSerName val="0"/>
          <c:showPercent val="0"/>
          <c:showBubbleSize val="0"/>
        </c:dLbls>
        <c:gapWidth val="219"/>
        <c:overlap val="-27"/>
        <c:axId val="750862568"/>
        <c:axId val="750864208"/>
      </c:barChart>
      <c:catAx>
        <c:axId val="750862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750864208"/>
        <c:crosses val="autoZero"/>
        <c:auto val="1"/>
        <c:lblAlgn val="ctr"/>
        <c:lblOffset val="100"/>
        <c:noMultiLvlLbl val="0"/>
      </c:catAx>
      <c:valAx>
        <c:axId val="750864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Spotřeba elektrické energie </a:t>
                </a:r>
                <a:r>
                  <a:rPr lang="en-US" sz="1100"/>
                  <a:t>[</a:t>
                </a:r>
                <a:r>
                  <a:rPr lang="cs-CZ" sz="1100"/>
                  <a:t>MWh</a:t>
                </a:r>
                <a:r>
                  <a:rPr lang="en-US" sz="1100"/>
                  <a:t>]</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7508625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Průběh spotřeby elektrické energie (neděle 3. 2. 2019)</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spPr>
            <a:ln w="28575" cap="rnd">
              <a:solidFill>
                <a:srgbClr val="B17029"/>
              </a:solidFill>
              <a:round/>
            </a:ln>
            <a:effectLst/>
          </c:spPr>
          <c:marker>
            <c:symbol val="none"/>
          </c:marker>
          <c:cat>
            <c:numRef>
              <c:f>el_měřené_časy!$A$1:$A$96</c:f>
              <c:numCache>
                <c:formatCode>General</c:formatCode>
                <c:ptCount val="96"/>
                <c:pt idx="0">
                  <c:v>0</c:v>
                </c:pt>
                <c:pt idx="4">
                  <c:v>1</c:v>
                </c:pt>
                <c:pt idx="8">
                  <c:v>2</c:v>
                </c:pt>
                <c:pt idx="12">
                  <c:v>3</c:v>
                </c:pt>
                <c:pt idx="16">
                  <c:v>4</c:v>
                </c:pt>
                <c:pt idx="20">
                  <c:v>5</c:v>
                </c:pt>
                <c:pt idx="24">
                  <c:v>6</c:v>
                </c:pt>
                <c:pt idx="28">
                  <c:v>7</c:v>
                </c:pt>
                <c:pt idx="32">
                  <c:v>8</c:v>
                </c:pt>
                <c:pt idx="36">
                  <c:v>9</c:v>
                </c:pt>
                <c:pt idx="40">
                  <c:v>10</c:v>
                </c:pt>
                <c:pt idx="44">
                  <c:v>11</c:v>
                </c:pt>
                <c:pt idx="48">
                  <c:v>12</c:v>
                </c:pt>
                <c:pt idx="52">
                  <c:v>13</c:v>
                </c:pt>
                <c:pt idx="56">
                  <c:v>14</c:v>
                </c:pt>
                <c:pt idx="60">
                  <c:v>15</c:v>
                </c:pt>
                <c:pt idx="64">
                  <c:v>16</c:v>
                </c:pt>
                <c:pt idx="68">
                  <c:v>17</c:v>
                </c:pt>
                <c:pt idx="72">
                  <c:v>18</c:v>
                </c:pt>
                <c:pt idx="76">
                  <c:v>19</c:v>
                </c:pt>
                <c:pt idx="80">
                  <c:v>20</c:v>
                </c:pt>
                <c:pt idx="84">
                  <c:v>21</c:v>
                </c:pt>
                <c:pt idx="88">
                  <c:v>22</c:v>
                </c:pt>
                <c:pt idx="92">
                  <c:v>23</c:v>
                </c:pt>
              </c:numCache>
            </c:numRef>
          </c:cat>
          <c:val>
            <c:numRef>
              <c:f>'el_profil spotř. 2019'!$C$3171:$C$3266</c:f>
              <c:numCache>
                <c:formatCode>General</c:formatCode>
                <c:ptCount val="96"/>
                <c:pt idx="0">
                  <c:v>282</c:v>
                </c:pt>
                <c:pt idx="1">
                  <c:v>284</c:v>
                </c:pt>
                <c:pt idx="2">
                  <c:v>285</c:v>
                </c:pt>
                <c:pt idx="3">
                  <c:v>287</c:v>
                </c:pt>
                <c:pt idx="4">
                  <c:v>308</c:v>
                </c:pt>
                <c:pt idx="5">
                  <c:v>305</c:v>
                </c:pt>
                <c:pt idx="6">
                  <c:v>308</c:v>
                </c:pt>
                <c:pt idx="7">
                  <c:v>296</c:v>
                </c:pt>
                <c:pt idx="8">
                  <c:v>302</c:v>
                </c:pt>
                <c:pt idx="9">
                  <c:v>299</c:v>
                </c:pt>
                <c:pt idx="10">
                  <c:v>300</c:v>
                </c:pt>
                <c:pt idx="11">
                  <c:v>299</c:v>
                </c:pt>
                <c:pt idx="12">
                  <c:v>278</c:v>
                </c:pt>
                <c:pt idx="13">
                  <c:v>275</c:v>
                </c:pt>
                <c:pt idx="14">
                  <c:v>282</c:v>
                </c:pt>
                <c:pt idx="15">
                  <c:v>279</c:v>
                </c:pt>
                <c:pt idx="16">
                  <c:v>296</c:v>
                </c:pt>
                <c:pt idx="17">
                  <c:v>297</c:v>
                </c:pt>
                <c:pt idx="18">
                  <c:v>299</c:v>
                </c:pt>
                <c:pt idx="19">
                  <c:v>303</c:v>
                </c:pt>
                <c:pt idx="20">
                  <c:v>314</c:v>
                </c:pt>
                <c:pt idx="21">
                  <c:v>311</c:v>
                </c:pt>
                <c:pt idx="22">
                  <c:v>319</c:v>
                </c:pt>
                <c:pt idx="23">
                  <c:v>313</c:v>
                </c:pt>
                <c:pt idx="24">
                  <c:v>317</c:v>
                </c:pt>
                <c:pt idx="25">
                  <c:v>316</c:v>
                </c:pt>
                <c:pt idx="26">
                  <c:v>319</c:v>
                </c:pt>
                <c:pt idx="27">
                  <c:v>321</c:v>
                </c:pt>
                <c:pt idx="28">
                  <c:v>320</c:v>
                </c:pt>
                <c:pt idx="29">
                  <c:v>319</c:v>
                </c:pt>
                <c:pt idx="30">
                  <c:v>321</c:v>
                </c:pt>
                <c:pt idx="31">
                  <c:v>318</c:v>
                </c:pt>
                <c:pt idx="32">
                  <c:v>314</c:v>
                </c:pt>
                <c:pt idx="33">
                  <c:v>314</c:v>
                </c:pt>
                <c:pt idx="34">
                  <c:v>317</c:v>
                </c:pt>
                <c:pt idx="35">
                  <c:v>319</c:v>
                </c:pt>
                <c:pt idx="36">
                  <c:v>324</c:v>
                </c:pt>
                <c:pt idx="37">
                  <c:v>319</c:v>
                </c:pt>
                <c:pt idx="38">
                  <c:v>324</c:v>
                </c:pt>
                <c:pt idx="39">
                  <c:v>321</c:v>
                </c:pt>
                <c:pt idx="40">
                  <c:v>320</c:v>
                </c:pt>
                <c:pt idx="41">
                  <c:v>323</c:v>
                </c:pt>
                <c:pt idx="42">
                  <c:v>328</c:v>
                </c:pt>
                <c:pt idx="43">
                  <c:v>324</c:v>
                </c:pt>
                <c:pt idx="44">
                  <c:v>330</c:v>
                </c:pt>
                <c:pt idx="45">
                  <c:v>329</c:v>
                </c:pt>
                <c:pt idx="46">
                  <c:v>332</c:v>
                </c:pt>
                <c:pt idx="47">
                  <c:v>332</c:v>
                </c:pt>
                <c:pt idx="48">
                  <c:v>329</c:v>
                </c:pt>
                <c:pt idx="49">
                  <c:v>329</c:v>
                </c:pt>
                <c:pt idx="50">
                  <c:v>330</c:v>
                </c:pt>
                <c:pt idx="51">
                  <c:v>326</c:v>
                </c:pt>
                <c:pt idx="52">
                  <c:v>328</c:v>
                </c:pt>
                <c:pt idx="53">
                  <c:v>325</c:v>
                </c:pt>
                <c:pt idx="54">
                  <c:v>335</c:v>
                </c:pt>
                <c:pt idx="55">
                  <c:v>331</c:v>
                </c:pt>
                <c:pt idx="56">
                  <c:v>331</c:v>
                </c:pt>
                <c:pt idx="57">
                  <c:v>328</c:v>
                </c:pt>
                <c:pt idx="58">
                  <c:v>330</c:v>
                </c:pt>
                <c:pt idx="59">
                  <c:v>327</c:v>
                </c:pt>
                <c:pt idx="60">
                  <c:v>338</c:v>
                </c:pt>
                <c:pt idx="61">
                  <c:v>345</c:v>
                </c:pt>
                <c:pt idx="62">
                  <c:v>347</c:v>
                </c:pt>
                <c:pt idx="63">
                  <c:v>358</c:v>
                </c:pt>
                <c:pt idx="64">
                  <c:v>349</c:v>
                </c:pt>
                <c:pt idx="65">
                  <c:v>354</c:v>
                </c:pt>
                <c:pt idx="66">
                  <c:v>352</c:v>
                </c:pt>
                <c:pt idx="67">
                  <c:v>348</c:v>
                </c:pt>
                <c:pt idx="68">
                  <c:v>347</c:v>
                </c:pt>
                <c:pt idx="69">
                  <c:v>342</c:v>
                </c:pt>
                <c:pt idx="70">
                  <c:v>345</c:v>
                </c:pt>
                <c:pt idx="71">
                  <c:v>342</c:v>
                </c:pt>
                <c:pt idx="72">
                  <c:v>366</c:v>
                </c:pt>
                <c:pt idx="73">
                  <c:v>361</c:v>
                </c:pt>
                <c:pt idx="74">
                  <c:v>358</c:v>
                </c:pt>
                <c:pt idx="75">
                  <c:v>351</c:v>
                </c:pt>
                <c:pt idx="76">
                  <c:v>348</c:v>
                </c:pt>
                <c:pt idx="77">
                  <c:v>345</c:v>
                </c:pt>
                <c:pt idx="78">
                  <c:v>347</c:v>
                </c:pt>
                <c:pt idx="79">
                  <c:v>349</c:v>
                </c:pt>
                <c:pt idx="80">
                  <c:v>354</c:v>
                </c:pt>
                <c:pt idx="81">
                  <c:v>341</c:v>
                </c:pt>
                <c:pt idx="82">
                  <c:v>340</c:v>
                </c:pt>
                <c:pt idx="83">
                  <c:v>345</c:v>
                </c:pt>
                <c:pt idx="84">
                  <c:v>354</c:v>
                </c:pt>
                <c:pt idx="85">
                  <c:v>349</c:v>
                </c:pt>
                <c:pt idx="86">
                  <c:v>349</c:v>
                </c:pt>
                <c:pt idx="87">
                  <c:v>345</c:v>
                </c:pt>
                <c:pt idx="88">
                  <c:v>316</c:v>
                </c:pt>
                <c:pt idx="89">
                  <c:v>314</c:v>
                </c:pt>
                <c:pt idx="90">
                  <c:v>317</c:v>
                </c:pt>
                <c:pt idx="91">
                  <c:v>315</c:v>
                </c:pt>
                <c:pt idx="92">
                  <c:v>312</c:v>
                </c:pt>
                <c:pt idx="93">
                  <c:v>310</c:v>
                </c:pt>
                <c:pt idx="94">
                  <c:v>309</c:v>
                </c:pt>
                <c:pt idx="95">
                  <c:v>312</c:v>
                </c:pt>
              </c:numCache>
            </c:numRef>
          </c:val>
          <c:smooth val="0"/>
          <c:extLst>
            <c:ext xmlns:c16="http://schemas.microsoft.com/office/drawing/2014/chart" uri="{C3380CC4-5D6E-409C-BE32-E72D297353CC}">
              <c16:uniqueId val="{00000000-F1D6-445C-A4A5-7D8FBD400372}"/>
            </c:ext>
          </c:extLst>
        </c:ser>
        <c:dLbls>
          <c:showLegendKey val="0"/>
          <c:showVal val="0"/>
          <c:showCatName val="0"/>
          <c:showSerName val="0"/>
          <c:showPercent val="0"/>
          <c:showBubbleSize val="0"/>
        </c:dLbls>
        <c:smooth val="0"/>
        <c:axId val="2005079535"/>
        <c:axId val="10862415"/>
      </c:lineChart>
      <c:catAx>
        <c:axId val="2005079535"/>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Čas </a:t>
                </a:r>
                <a:r>
                  <a:rPr lang="en-US" sz="1100"/>
                  <a:t>[</a:t>
                </a:r>
                <a:r>
                  <a:rPr lang="cs-CZ" sz="1100"/>
                  <a:t>h</a:t>
                </a:r>
                <a:r>
                  <a:rPr lang="en-US" sz="1100"/>
                  <a:t>]</a:t>
                </a:r>
                <a:endParaRPr lang="cs-CZ" sz="1100"/>
              </a:p>
            </c:rich>
          </c:tx>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862415"/>
        <c:crosses val="autoZero"/>
        <c:auto val="1"/>
        <c:lblAlgn val="ctr"/>
        <c:lblOffset val="100"/>
        <c:noMultiLvlLbl val="0"/>
      </c:catAx>
      <c:valAx>
        <c:axId val="10862415"/>
        <c:scaling>
          <c:orientation val="minMax"/>
          <c:max val="1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Okamžitý</a:t>
                </a:r>
                <a:r>
                  <a:rPr lang="cs-CZ" sz="1100" baseline="0"/>
                  <a:t> elektrický výkon </a:t>
                </a:r>
                <a:r>
                  <a:rPr lang="en-US" sz="1100" baseline="0"/>
                  <a:t>[</a:t>
                </a:r>
                <a:r>
                  <a:rPr lang="cs-CZ" sz="1100" baseline="0"/>
                  <a:t>kW</a:t>
                </a:r>
                <a:r>
                  <a:rPr lang="en-US" sz="1100" baseline="0"/>
                  <a:t>]</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200507953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Průběh spotřeby elektrické energie (pondělí</a:t>
            </a:r>
            <a:r>
              <a:rPr lang="cs-CZ" baseline="0"/>
              <a:t> 4. 2. 2019)</a:t>
            </a:r>
            <a:endParaRPr lang="cs-CZ"/>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spPr>
            <a:ln w="28575" cap="rnd">
              <a:solidFill>
                <a:srgbClr val="B17029"/>
              </a:solidFill>
              <a:round/>
            </a:ln>
            <a:effectLst/>
          </c:spPr>
          <c:marker>
            <c:symbol val="none"/>
          </c:marker>
          <c:cat>
            <c:numRef>
              <c:f>el_měřené_časy!$A$1:$A$96</c:f>
              <c:numCache>
                <c:formatCode>General</c:formatCode>
                <c:ptCount val="96"/>
                <c:pt idx="0">
                  <c:v>0</c:v>
                </c:pt>
                <c:pt idx="4">
                  <c:v>1</c:v>
                </c:pt>
                <c:pt idx="8">
                  <c:v>2</c:v>
                </c:pt>
                <c:pt idx="12">
                  <c:v>3</c:v>
                </c:pt>
                <c:pt idx="16">
                  <c:v>4</c:v>
                </c:pt>
                <c:pt idx="20">
                  <c:v>5</c:v>
                </c:pt>
                <c:pt idx="24">
                  <c:v>6</c:v>
                </c:pt>
                <c:pt idx="28">
                  <c:v>7</c:v>
                </c:pt>
                <c:pt idx="32">
                  <c:v>8</c:v>
                </c:pt>
                <c:pt idx="36">
                  <c:v>9</c:v>
                </c:pt>
                <c:pt idx="40">
                  <c:v>10</c:v>
                </c:pt>
                <c:pt idx="44">
                  <c:v>11</c:v>
                </c:pt>
                <c:pt idx="48">
                  <c:v>12</c:v>
                </c:pt>
                <c:pt idx="52">
                  <c:v>13</c:v>
                </c:pt>
                <c:pt idx="56">
                  <c:v>14</c:v>
                </c:pt>
                <c:pt idx="60">
                  <c:v>15</c:v>
                </c:pt>
                <c:pt idx="64">
                  <c:v>16</c:v>
                </c:pt>
                <c:pt idx="68">
                  <c:v>17</c:v>
                </c:pt>
                <c:pt idx="72">
                  <c:v>18</c:v>
                </c:pt>
                <c:pt idx="76">
                  <c:v>19</c:v>
                </c:pt>
                <c:pt idx="80">
                  <c:v>20</c:v>
                </c:pt>
                <c:pt idx="84">
                  <c:v>21</c:v>
                </c:pt>
                <c:pt idx="88">
                  <c:v>22</c:v>
                </c:pt>
                <c:pt idx="92">
                  <c:v>23</c:v>
                </c:pt>
              </c:numCache>
            </c:numRef>
          </c:cat>
          <c:val>
            <c:numRef>
              <c:f>'el_profil spotř. 2019'!$C$3267:$C$3362</c:f>
              <c:numCache>
                <c:formatCode>General</c:formatCode>
                <c:ptCount val="96"/>
                <c:pt idx="0">
                  <c:v>318</c:v>
                </c:pt>
                <c:pt idx="1">
                  <c:v>326</c:v>
                </c:pt>
                <c:pt idx="2">
                  <c:v>329</c:v>
                </c:pt>
                <c:pt idx="3">
                  <c:v>340</c:v>
                </c:pt>
                <c:pt idx="4">
                  <c:v>380</c:v>
                </c:pt>
                <c:pt idx="5">
                  <c:v>383</c:v>
                </c:pt>
                <c:pt idx="6">
                  <c:v>383</c:v>
                </c:pt>
                <c:pt idx="7">
                  <c:v>382</c:v>
                </c:pt>
                <c:pt idx="8">
                  <c:v>390</c:v>
                </c:pt>
                <c:pt idx="9">
                  <c:v>392</c:v>
                </c:pt>
                <c:pt idx="10">
                  <c:v>381</c:v>
                </c:pt>
                <c:pt idx="11">
                  <c:v>380</c:v>
                </c:pt>
                <c:pt idx="12">
                  <c:v>397</c:v>
                </c:pt>
                <c:pt idx="13">
                  <c:v>373</c:v>
                </c:pt>
                <c:pt idx="14">
                  <c:v>373</c:v>
                </c:pt>
                <c:pt idx="15">
                  <c:v>371</c:v>
                </c:pt>
                <c:pt idx="16">
                  <c:v>415</c:v>
                </c:pt>
                <c:pt idx="17">
                  <c:v>429</c:v>
                </c:pt>
                <c:pt idx="18">
                  <c:v>436</c:v>
                </c:pt>
                <c:pt idx="19">
                  <c:v>431</c:v>
                </c:pt>
                <c:pt idx="20">
                  <c:v>460</c:v>
                </c:pt>
                <c:pt idx="21">
                  <c:v>469</c:v>
                </c:pt>
                <c:pt idx="22">
                  <c:v>516</c:v>
                </c:pt>
                <c:pt idx="23">
                  <c:v>602</c:v>
                </c:pt>
                <c:pt idx="24">
                  <c:v>748</c:v>
                </c:pt>
                <c:pt idx="25">
                  <c:v>835</c:v>
                </c:pt>
                <c:pt idx="26">
                  <c:v>807</c:v>
                </c:pt>
                <c:pt idx="27">
                  <c:v>822</c:v>
                </c:pt>
                <c:pt idx="28">
                  <c:v>855</c:v>
                </c:pt>
                <c:pt idx="29">
                  <c:v>875</c:v>
                </c:pt>
                <c:pt idx="30">
                  <c:v>856</c:v>
                </c:pt>
                <c:pt idx="31">
                  <c:v>843</c:v>
                </c:pt>
                <c:pt idx="32">
                  <c:v>869</c:v>
                </c:pt>
                <c:pt idx="33">
                  <c:v>869</c:v>
                </c:pt>
                <c:pt idx="34">
                  <c:v>923</c:v>
                </c:pt>
                <c:pt idx="35">
                  <c:v>892</c:v>
                </c:pt>
                <c:pt idx="36">
                  <c:v>927</c:v>
                </c:pt>
                <c:pt idx="37">
                  <c:v>955</c:v>
                </c:pt>
                <c:pt idx="38">
                  <c:v>899</c:v>
                </c:pt>
                <c:pt idx="39">
                  <c:v>911</c:v>
                </c:pt>
                <c:pt idx="40">
                  <c:v>928</c:v>
                </c:pt>
                <c:pt idx="41">
                  <c:v>910</c:v>
                </c:pt>
                <c:pt idx="42">
                  <c:v>865</c:v>
                </c:pt>
                <c:pt idx="43">
                  <c:v>863</c:v>
                </c:pt>
                <c:pt idx="44">
                  <c:v>871</c:v>
                </c:pt>
                <c:pt idx="45">
                  <c:v>882</c:v>
                </c:pt>
                <c:pt idx="46">
                  <c:v>911</c:v>
                </c:pt>
                <c:pt idx="47">
                  <c:v>927</c:v>
                </c:pt>
                <c:pt idx="48">
                  <c:v>924</c:v>
                </c:pt>
                <c:pt idx="49">
                  <c:v>926</c:v>
                </c:pt>
                <c:pt idx="50">
                  <c:v>909</c:v>
                </c:pt>
                <c:pt idx="51">
                  <c:v>931</c:v>
                </c:pt>
                <c:pt idx="52">
                  <c:v>874</c:v>
                </c:pt>
                <c:pt idx="53">
                  <c:v>870</c:v>
                </c:pt>
                <c:pt idx="54">
                  <c:v>843</c:v>
                </c:pt>
                <c:pt idx="55">
                  <c:v>830</c:v>
                </c:pt>
                <c:pt idx="56">
                  <c:v>830</c:v>
                </c:pt>
                <c:pt idx="57">
                  <c:v>813</c:v>
                </c:pt>
                <c:pt idx="58">
                  <c:v>789</c:v>
                </c:pt>
                <c:pt idx="59">
                  <c:v>769</c:v>
                </c:pt>
                <c:pt idx="60">
                  <c:v>760</c:v>
                </c:pt>
                <c:pt idx="61">
                  <c:v>753</c:v>
                </c:pt>
                <c:pt idx="62">
                  <c:v>750</c:v>
                </c:pt>
                <c:pt idx="63">
                  <c:v>738</c:v>
                </c:pt>
                <c:pt idx="64">
                  <c:v>695</c:v>
                </c:pt>
                <c:pt idx="65">
                  <c:v>694</c:v>
                </c:pt>
                <c:pt idx="66">
                  <c:v>661</c:v>
                </c:pt>
                <c:pt idx="67">
                  <c:v>660</c:v>
                </c:pt>
                <c:pt idx="68">
                  <c:v>671</c:v>
                </c:pt>
                <c:pt idx="69">
                  <c:v>661</c:v>
                </c:pt>
                <c:pt idx="70">
                  <c:v>646</c:v>
                </c:pt>
                <c:pt idx="71">
                  <c:v>631</c:v>
                </c:pt>
                <c:pt idx="72">
                  <c:v>554</c:v>
                </c:pt>
                <c:pt idx="73">
                  <c:v>529</c:v>
                </c:pt>
                <c:pt idx="74">
                  <c:v>526</c:v>
                </c:pt>
                <c:pt idx="75">
                  <c:v>514</c:v>
                </c:pt>
                <c:pt idx="76">
                  <c:v>494</c:v>
                </c:pt>
                <c:pt idx="77">
                  <c:v>465</c:v>
                </c:pt>
                <c:pt idx="78">
                  <c:v>465</c:v>
                </c:pt>
                <c:pt idx="79">
                  <c:v>460</c:v>
                </c:pt>
                <c:pt idx="80">
                  <c:v>445</c:v>
                </c:pt>
                <c:pt idx="81">
                  <c:v>407</c:v>
                </c:pt>
                <c:pt idx="82">
                  <c:v>396</c:v>
                </c:pt>
                <c:pt idx="83">
                  <c:v>399</c:v>
                </c:pt>
                <c:pt idx="84">
                  <c:v>387</c:v>
                </c:pt>
                <c:pt idx="85">
                  <c:v>379</c:v>
                </c:pt>
                <c:pt idx="86">
                  <c:v>369</c:v>
                </c:pt>
                <c:pt idx="87">
                  <c:v>362</c:v>
                </c:pt>
                <c:pt idx="88">
                  <c:v>334</c:v>
                </c:pt>
                <c:pt idx="89">
                  <c:v>335</c:v>
                </c:pt>
                <c:pt idx="90">
                  <c:v>338</c:v>
                </c:pt>
                <c:pt idx="91">
                  <c:v>334</c:v>
                </c:pt>
                <c:pt idx="92">
                  <c:v>328</c:v>
                </c:pt>
                <c:pt idx="93">
                  <c:v>325</c:v>
                </c:pt>
                <c:pt idx="94">
                  <c:v>325</c:v>
                </c:pt>
                <c:pt idx="95">
                  <c:v>318</c:v>
                </c:pt>
              </c:numCache>
            </c:numRef>
          </c:val>
          <c:smooth val="0"/>
          <c:extLst>
            <c:ext xmlns:c16="http://schemas.microsoft.com/office/drawing/2014/chart" uri="{C3380CC4-5D6E-409C-BE32-E72D297353CC}">
              <c16:uniqueId val="{00000000-548D-46EF-BD37-B5847B8144E0}"/>
            </c:ext>
          </c:extLst>
        </c:ser>
        <c:dLbls>
          <c:showLegendKey val="0"/>
          <c:showVal val="0"/>
          <c:showCatName val="0"/>
          <c:showSerName val="0"/>
          <c:showPercent val="0"/>
          <c:showBubbleSize val="0"/>
        </c:dLbls>
        <c:smooth val="0"/>
        <c:axId val="1843677455"/>
        <c:axId val="1843678287"/>
      </c:lineChart>
      <c:catAx>
        <c:axId val="1843677455"/>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Čas </a:t>
                </a:r>
                <a:r>
                  <a:rPr lang="en-US" sz="1100"/>
                  <a:t>[</a:t>
                </a:r>
                <a:r>
                  <a:rPr lang="cs-CZ" sz="1100"/>
                  <a:t>h</a:t>
                </a:r>
                <a:r>
                  <a:rPr lang="en-US" sz="1100"/>
                  <a:t>]</a:t>
                </a:r>
                <a:endParaRPr lang="cs-CZ" sz="1100"/>
              </a:p>
            </c:rich>
          </c:tx>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843678287"/>
        <c:crosses val="autoZero"/>
        <c:auto val="1"/>
        <c:lblAlgn val="ctr"/>
        <c:lblOffset val="100"/>
        <c:noMultiLvlLbl val="0"/>
      </c:catAx>
      <c:valAx>
        <c:axId val="1843678287"/>
        <c:scaling>
          <c:orientation val="minMax"/>
          <c:max val="1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Okamžitý elektrický výkon </a:t>
                </a:r>
                <a:r>
                  <a:rPr lang="en-US" sz="1100"/>
                  <a:t>[kW]</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8436774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Průběh spotřeby elektrické energie (neděle 21. 7. 2019)</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spPr>
            <a:ln w="28575" cap="rnd">
              <a:solidFill>
                <a:srgbClr val="B17029"/>
              </a:solidFill>
              <a:round/>
            </a:ln>
            <a:effectLst/>
          </c:spPr>
          <c:marker>
            <c:symbol val="none"/>
          </c:marker>
          <c:cat>
            <c:numRef>
              <c:f>el_měřené_časy!$A$1:$A$96</c:f>
              <c:numCache>
                <c:formatCode>General</c:formatCode>
                <c:ptCount val="96"/>
                <c:pt idx="0">
                  <c:v>0</c:v>
                </c:pt>
                <c:pt idx="4">
                  <c:v>1</c:v>
                </c:pt>
                <c:pt idx="8">
                  <c:v>2</c:v>
                </c:pt>
                <c:pt idx="12">
                  <c:v>3</c:v>
                </c:pt>
                <c:pt idx="16">
                  <c:v>4</c:v>
                </c:pt>
                <c:pt idx="20">
                  <c:v>5</c:v>
                </c:pt>
                <c:pt idx="24">
                  <c:v>6</c:v>
                </c:pt>
                <c:pt idx="28">
                  <c:v>7</c:v>
                </c:pt>
                <c:pt idx="32">
                  <c:v>8</c:v>
                </c:pt>
                <c:pt idx="36">
                  <c:v>9</c:v>
                </c:pt>
                <c:pt idx="40">
                  <c:v>10</c:v>
                </c:pt>
                <c:pt idx="44">
                  <c:v>11</c:v>
                </c:pt>
                <c:pt idx="48">
                  <c:v>12</c:v>
                </c:pt>
                <c:pt idx="52">
                  <c:v>13</c:v>
                </c:pt>
                <c:pt idx="56">
                  <c:v>14</c:v>
                </c:pt>
                <c:pt idx="60">
                  <c:v>15</c:v>
                </c:pt>
                <c:pt idx="64">
                  <c:v>16</c:v>
                </c:pt>
                <c:pt idx="68">
                  <c:v>17</c:v>
                </c:pt>
                <c:pt idx="72">
                  <c:v>18</c:v>
                </c:pt>
                <c:pt idx="76">
                  <c:v>19</c:v>
                </c:pt>
                <c:pt idx="80">
                  <c:v>20</c:v>
                </c:pt>
                <c:pt idx="84">
                  <c:v>21</c:v>
                </c:pt>
                <c:pt idx="88">
                  <c:v>22</c:v>
                </c:pt>
                <c:pt idx="92">
                  <c:v>23</c:v>
                </c:pt>
              </c:numCache>
            </c:numRef>
          </c:cat>
          <c:val>
            <c:numRef>
              <c:f>'el_profil spotř. 2019'!$C$19295:$C$19389</c:f>
              <c:numCache>
                <c:formatCode>General</c:formatCode>
                <c:ptCount val="95"/>
                <c:pt idx="0">
                  <c:v>358</c:v>
                </c:pt>
                <c:pt idx="1">
                  <c:v>382</c:v>
                </c:pt>
                <c:pt idx="2">
                  <c:v>401</c:v>
                </c:pt>
                <c:pt idx="3">
                  <c:v>372</c:v>
                </c:pt>
                <c:pt idx="4">
                  <c:v>391</c:v>
                </c:pt>
                <c:pt idx="5">
                  <c:v>358</c:v>
                </c:pt>
                <c:pt idx="6">
                  <c:v>354</c:v>
                </c:pt>
                <c:pt idx="7">
                  <c:v>361</c:v>
                </c:pt>
                <c:pt idx="8">
                  <c:v>387</c:v>
                </c:pt>
                <c:pt idx="9">
                  <c:v>390</c:v>
                </c:pt>
                <c:pt idx="10">
                  <c:v>355</c:v>
                </c:pt>
                <c:pt idx="11">
                  <c:v>348</c:v>
                </c:pt>
                <c:pt idx="12">
                  <c:v>351</c:v>
                </c:pt>
                <c:pt idx="13">
                  <c:v>382</c:v>
                </c:pt>
                <c:pt idx="14">
                  <c:v>395</c:v>
                </c:pt>
                <c:pt idx="15">
                  <c:v>374</c:v>
                </c:pt>
                <c:pt idx="16">
                  <c:v>351</c:v>
                </c:pt>
                <c:pt idx="17">
                  <c:v>348</c:v>
                </c:pt>
                <c:pt idx="18">
                  <c:v>373</c:v>
                </c:pt>
                <c:pt idx="19">
                  <c:v>397</c:v>
                </c:pt>
                <c:pt idx="20">
                  <c:v>386</c:v>
                </c:pt>
                <c:pt idx="21">
                  <c:v>363</c:v>
                </c:pt>
                <c:pt idx="22">
                  <c:v>354</c:v>
                </c:pt>
                <c:pt idx="23">
                  <c:v>361</c:v>
                </c:pt>
                <c:pt idx="24">
                  <c:v>389</c:v>
                </c:pt>
                <c:pt idx="25">
                  <c:v>381</c:v>
                </c:pt>
                <c:pt idx="26">
                  <c:v>351</c:v>
                </c:pt>
                <c:pt idx="27">
                  <c:v>353</c:v>
                </c:pt>
                <c:pt idx="28">
                  <c:v>364</c:v>
                </c:pt>
                <c:pt idx="29">
                  <c:v>395</c:v>
                </c:pt>
                <c:pt idx="30">
                  <c:v>381</c:v>
                </c:pt>
                <c:pt idx="31">
                  <c:v>345</c:v>
                </c:pt>
                <c:pt idx="32">
                  <c:v>344</c:v>
                </c:pt>
                <c:pt idx="33">
                  <c:v>357</c:v>
                </c:pt>
                <c:pt idx="34">
                  <c:v>388</c:v>
                </c:pt>
                <c:pt idx="35">
                  <c:v>387</c:v>
                </c:pt>
                <c:pt idx="36">
                  <c:v>391</c:v>
                </c:pt>
                <c:pt idx="37">
                  <c:v>358</c:v>
                </c:pt>
                <c:pt idx="38">
                  <c:v>356</c:v>
                </c:pt>
                <c:pt idx="39">
                  <c:v>392</c:v>
                </c:pt>
                <c:pt idx="40">
                  <c:v>398</c:v>
                </c:pt>
                <c:pt idx="41">
                  <c:v>379</c:v>
                </c:pt>
                <c:pt idx="42">
                  <c:v>360</c:v>
                </c:pt>
                <c:pt idx="43">
                  <c:v>357</c:v>
                </c:pt>
                <c:pt idx="44">
                  <c:v>395</c:v>
                </c:pt>
                <c:pt idx="45">
                  <c:v>401</c:v>
                </c:pt>
                <c:pt idx="46">
                  <c:v>398</c:v>
                </c:pt>
                <c:pt idx="47">
                  <c:v>358</c:v>
                </c:pt>
                <c:pt idx="48">
                  <c:v>354</c:v>
                </c:pt>
                <c:pt idx="49">
                  <c:v>392</c:v>
                </c:pt>
                <c:pt idx="50">
                  <c:v>439</c:v>
                </c:pt>
                <c:pt idx="51">
                  <c:v>449</c:v>
                </c:pt>
                <c:pt idx="52">
                  <c:v>425</c:v>
                </c:pt>
                <c:pt idx="53">
                  <c:v>401</c:v>
                </c:pt>
                <c:pt idx="54">
                  <c:v>437</c:v>
                </c:pt>
                <c:pt idx="55">
                  <c:v>432</c:v>
                </c:pt>
                <c:pt idx="56">
                  <c:v>408</c:v>
                </c:pt>
                <c:pt idx="57">
                  <c:v>404</c:v>
                </c:pt>
                <c:pt idx="58">
                  <c:v>404</c:v>
                </c:pt>
                <c:pt idx="59">
                  <c:v>413</c:v>
                </c:pt>
                <c:pt idx="60">
                  <c:v>376</c:v>
                </c:pt>
                <c:pt idx="61">
                  <c:v>384</c:v>
                </c:pt>
                <c:pt idx="62">
                  <c:v>416</c:v>
                </c:pt>
                <c:pt idx="63">
                  <c:v>416</c:v>
                </c:pt>
                <c:pt idx="64">
                  <c:v>396</c:v>
                </c:pt>
                <c:pt idx="65">
                  <c:v>370</c:v>
                </c:pt>
                <c:pt idx="66">
                  <c:v>376</c:v>
                </c:pt>
                <c:pt idx="67">
                  <c:v>408</c:v>
                </c:pt>
                <c:pt idx="68">
                  <c:v>406</c:v>
                </c:pt>
                <c:pt idx="69">
                  <c:v>387</c:v>
                </c:pt>
                <c:pt idx="70">
                  <c:v>364</c:v>
                </c:pt>
                <c:pt idx="71">
                  <c:v>394</c:v>
                </c:pt>
                <c:pt idx="72">
                  <c:v>411</c:v>
                </c:pt>
                <c:pt idx="73">
                  <c:v>410</c:v>
                </c:pt>
                <c:pt idx="74">
                  <c:v>411</c:v>
                </c:pt>
                <c:pt idx="75">
                  <c:v>414</c:v>
                </c:pt>
                <c:pt idx="76">
                  <c:v>442</c:v>
                </c:pt>
                <c:pt idx="77">
                  <c:v>443</c:v>
                </c:pt>
                <c:pt idx="78">
                  <c:v>411</c:v>
                </c:pt>
                <c:pt idx="79">
                  <c:v>400</c:v>
                </c:pt>
                <c:pt idx="80">
                  <c:v>443</c:v>
                </c:pt>
                <c:pt idx="81">
                  <c:v>438</c:v>
                </c:pt>
                <c:pt idx="82">
                  <c:v>430</c:v>
                </c:pt>
                <c:pt idx="83">
                  <c:v>412</c:v>
                </c:pt>
                <c:pt idx="84">
                  <c:v>395</c:v>
                </c:pt>
                <c:pt idx="85">
                  <c:v>391</c:v>
                </c:pt>
                <c:pt idx="86">
                  <c:v>393</c:v>
                </c:pt>
                <c:pt idx="87">
                  <c:v>359</c:v>
                </c:pt>
                <c:pt idx="88">
                  <c:v>322</c:v>
                </c:pt>
                <c:pt idx="89">
                  <c:v>359</c:v>
                </c:pt>
                <c:pt idx="90">
                  <c:v>360</c:v>
                </c:pt>
                <c:pt idx="91">
                  <c:v>361</c:v>
                </c:pt>
                <c:pt idx="92">
                  <c:v>357</c:v>
                </c:pt>
                <c:pt idx="93">
                  <c:v>358</c:v>
                </c:pt>
                <c:pt idx="94">
                  <c:v>323</c:v>
                </c:pt>
              </c:numCache>
            </c:numRef>
          </c:val>
          <c:smooth val="0"/>
          <c:extLst>
            <c:ext xmlns:c16="http://schemas.microsoft.com/office/drawing/2014/chart" uri="{C3380CC4-5D6E-409C-BE32-E72D297353CC}">
              <c16:uniqueId val="{00000000-CC4D-4D10-A052-AAC22F2FF589}"/>
            </c:ext>
          </c:extLst>
        </c:ser>
        <c:dLbls>
          <c:showLegendKey val="0"/>
          <c:showVal val="0"/>
          <c:showCatName val="0"/>
          <c:showSerName val="0"/>
          <c:showPercent val="0"/>
          <c:showBubbleSize val="0"/>
        </c:dLbls>
        <c:smooth val="0"/>
        <c:axId val="230235695"/>
        <c:axId val="230233615"/>
      </c:lineChart>
      <c:catAx>
        <c:axId val="230235695"/>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Čas </a:t>
                </a:r>
                <a:r>
                  <a:rPr lang="en-US" sz="1100"/>
                  <a:t>[</a:t>
                </a:r>
                <a:r>
                  <a:rPr lang="cs-CZ" sz="1100"/>
                  <a:t>h</a:t>
                </a:r>
                <a:r>
                  <a:rPr lang="en-US" sz="1100"/>
                  <a:t>]</a:t>
                </a:r>
                <a:endParaRPr lang="cs-CZ" sz="1100"/>
              </a:p>
            </c:rich>
          </c:tx>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230233615"/>
        <c:crosses val="autoZero"/>
        <c:auto val="1"/>
        <c:lblAlgn val="ctr"/>
        <c:lblOffset val="100"/>
        <c:noMultiLvlLbl val="0"/>
      </c:catAx>
      <c:valAx>
        <c:axId val="230233615"/>
        <c:scaling>
          <c:orientation val="minMax"/>
          <c:max val="1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en-US" sz="1100"/>
                  <a:t>Okam</a:t>
                </a:r>
                <a:r>
                  <a:rPr lang="cs-CZ" sz="1100"/>
                  <a:t>žitý</a:t>
                </a:r>
                <a:r>
                  <a:rPr lang="cs-CZ" sz="1100" baseline="0"/>
                  <a:t> elektrický výkon </a:t>
                </a:r>
                <a:r>
                  <a:rPr lang="en-US" sz="1100" baseline="0"/>
                  <a:t>[kW]</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23023569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Průběh spotřeby elektrické</a:t>
            </a:r>
            <a:r>
              <a:rPr lang="cs-CZ" baseline="0"/>
              <a:t> energie (p</a:t>
            </a:r>
            <a:r>
              <a:rPr lang="cs-CZ"/>
              <a:t>ondělí 22. 7. 2019)</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spPr>
            <a:ln w="28575" cap="rnd">
              <a:solidFill>
                <a:srgbClr val="B17029"/>
              </a:solidFill>
              <a:round/>
            </a:ln>
            <a:effectLst/>
          </c:spPr>
          <c:marker>
            <c:symbol val="none"/>
          </c:marker>
          <c:cat>
            <c:numRef>
              <c:f>el_měřené_časy!$A$1:$A$96</c:f>
              <c:numCache>
                <c:formatCode>General</c:formatCode>
                <c:ptCount val="96"/>
                <c:pt idx="0">
                  <c:v>0</c:v>
                </c:pt>
                <c:pt idx="4">
                  <c:v>1</c:v>
                </c:pt>
                <c:pt idx="8">
                  <c:v>2</c:v>
                </c:pt>
                <c:pt idx="12">
                  <c:v>3</c:v>
                </c:pt>
                <c:pt idx="16">
                  <c:v>4</c:v>
                </c:pt>
                <c:pt idx="20">
                  <c:v>5</c:v>
                </c:pt>
                <c:pt idx="24">
                  <c:v>6</c:v>
                </c:pt>
                <c:pt idx="28">
                  <c:v>7</c:v>
                </c:pt>
                <c:pt idx="32">
                  <c:v>8</c:v>
                </c:pt>
                <c:pt idx="36">
                  <c:v>9</c:v>
                </c:pt>
                <c:pt idx="40">
                  <c:v>10</c:v>
                </c:pt>
                <c:pt idx="44">
                  <c:v>11</c:v>
                </c:pt>
                <c:pt idx="48">
                  <c:v>12</c:v>
                </c:pt>
                <c:pt idx="52">
                  <c:v>13</c:v>
                </c:pt>
                <c:pt idx="56">
                  <c:v>14</c:v>
                </c:pt>
                <c:pt idx="60">
                  <c:v>15</c:v>
                </c:pt>
                <c:pt idx="64">
                  <c:v>16</c:v>
                </c:pt>
                <c:pt idx="68">
                  <c:v>17</c:v>
                </c:pt>
                <c:pt idx="72">
                  <c:v>18</c:v>
                </c:pt>
                <c:pt idx="76">
                  <c:v>19</c:v>
                </c:pt>
                <c:pt idx="80">
                  <c:v>20</c:v>
                </c:pt>
                <c:pt idx="84">
                  <c:v>21</c:v>
                </c:pt>
                <c:pt idx="88">
                  <c:v>22</c:v>
                </c:pt>
                <c:pt idx="92">
                  <c:v>23</c:v>
                </c:pt>
              </c:numCache>
            </c:numRef>
          </c:cat>
          <c:val>
            <c:numRef>
              <c:f>'el_profil spotř. 2019'!$C$19391:$C$19486</c:f>
              <c:numCache>
                <c:formatCode>General</c:formatCode>
                <c:ptCount val="96"/>
                <c:pt idx="0">
                  <c:v>370</c:v>
                </c:pt>
                <c:pt idx="1">
                  <c:v>378</c:v>
                </c:pt>
                <c:pt idx="2">
                  <c:v>375</c:v>
                </c:pt>
                <c:pt idx="3">
                  <c:v>372</c:v>
                </c:pt>
                <c:pt idx="4">
                  <c:v>373</c:v>
                </c:pt>
                <c:pt idx="5">
                  <c:v>407</c:v>
                </c:pt>
                <c:pt idx="6">
                  <c:v>427</c:v>
                </c:pt>
                <c:pt idx="7">
                  <c:v>427</c:v>
                </c:pt>
                <c:pt idx="8">
                  <c:v>428</c:v>
                </c:pt>
                <c:pt idx="9">
                  <c:v>428</c:v>
                </c:pt>
                <c:pt idx="10">
                  <c:v>422</c:v>
                </c:pt>
                <c:pt idx="11">
                  <c:v>421</c:v>
                </c:pt>
                <c:pt idx="12">
                  <c:v>429</c:v>
                </c:pt>
                <c:pt idx="13">
                  <c:v>446</c:v>
                </c:pt>
                <c:pt idx="14">
                  <c:v>456</c:v>
                </c:pt>
                <c:pt idx="15">
                  <c:v>437</c:v>
                </c:pt>
                <c:pt idx="16">
                  <c:v>449</c:v>
                </c:pt>
                <c:pt idx="17">
                  <c:v>465</c:v>
                </c:pt>
                <c:pt idx="18">
                  <c:v>489</c:v>
                </c:pt>
                <c:pt idx="19">
                  <c:v>493</c:v>
                </c:pt>
                <c:pt idx="20">
                  <c:v>538</c:v>
                </c:pt>
                <c:pt idx="21">
                  <c:v>554</c:v>
                </c:pt>
                <c:pt idx="22">
                  <c:v>575</c:v>
                </c:pt>
                <c:pt idx="23">
                  <c:v>654</c:v>
                </c:pt>
                <c:pt idx="24">
                  <c:v>849</c:v>
                </c:pt>
                <c:pt idx="25">
                  <c:v>893</c:v>
                </c:pt>
                <c:pt idx="26">
                  <c:v>920</c:v>
                </c:pt>
                <c:pt idx="27">
                  <c:v>905</c:v>
                </c:pt>
                <c:pt idx="28">
                  <c:v>916</c:v>
                </c:pt>
                <c:pt idx="29">
                  <c:v>908</c:v>
                </c:pt>
                <c:pt idx="30">
                  <c:v>941</c:v>
                </c:pt>
                <c:pt idx="31">
                  <c:v>959</c:v>
                </c:pt>
                <c:pt idx="32">
                  <c:v>980</c:v>
                </c:pt>
                <c:pt idx="33">
                  <c:v>1022</c:v>
                </c:pt>
                <c:pt idx="34">
                  <c:v>1053</c:v>
                </c:pt>
                <c:pt idx="35">
                  <c:v>1027</c:v>
                </c:pt>
                <c:pt idx="36">
                  <c:v>1075</c:v>
                </c:pt>
                <c:pt idx="37">
                  <c:v>1002</c:v>
                </c:pt>
                <c:pt idx="38">
                  <c:v>1000</c:v>
                </c:pt>
                <c:pt idx="39">
                  <c:v>1064</c:v>
                </c:pt>
                <c:pt idx="40">
                  <c:v>1030</c:v>
                </c:pt>
                <c:pt idx="41">
                  <c:v>999</c:v>
                </c:pt>
                <c:pt idx="42">
                  <c:v>1004</c:v>
                </c:pt>
                <c:pt idx="43">
                  <c:v>1005</c:v>
                </c:pt>
                <c:pt idx="44">
                  <c:v>1001</c:v>
                </c:pt>
                <c:pt idx="45">
                  <c:v>1011</c:v>
                </c:pt>
                <c:pt idx="46">
                  <c:v>1058</c:v>
                </c:pt>
                <c:pt idx="47">
                  <c:v>1062</c:v>
                </c:pt>
                <c:pt idx="48">
                  <c:v>1063</c:v>
                </c:pt>
                <c:pt idx="49">
                  <c:v>1053</c:v>
                </c:pt>
                <c:pt idx="50">
                  <c:v>1082</c:v>
                </c:pt>
                <c:pt idx="51">
                  <c:v>1078</c:v>
                </c:pt>
                <c:pt idx="52">
                  <c:v>1062</c:v>
                </c:pt>
                <c:pt idx="53">
                  <c:v>1085</c:v>
                </c:pt>
                <c:pt idx="54">
                  <c:v>1069</c:v>
                </c:pt>
                <c:pt idx="55">
                  <c:v>1028</c:v>
                </c:pt>
                <c:pt idx="56">
                  <c:v>999</c:v>
                </c:pt>
                <c:pt idx="57">
                  <c:v>991</c:v>
                </c:pt>
                <c:pt idx="58">
                  <c:v>974</c:v>
                </c:pt>
                <c:pt idx="59">
                  <c:v>966</c:v>
                </c:pt>
                <c:pt idx="60">
                  <c:v>973</c:v>
                </c:pt>
                <c:pt idx="61">
                  <c:v>922</c:v>
                </c:pt>
                <c:pt idx="62">
                  <c:v>975</c:v>
                </c:pt>
                <c:pt idx="63">
                  <c:v>915</c:v>
                </c:pt>
                <c:pt idx="64">
                  <c:v>916</c:v>
                </c:pt>
                <c:pt idx="65">
                  <c:v>773</c:v>
                </c:pt>
                <c:pt idx="66">
                  <c:v>800</c:v>
                </c:pt>
                <c:pt idx="67">
                  <c:v>792</c:v>
                </c:pt>
                <c:pt idx="68">
                  <c:v>780</c:v>
                </c:pt>
                <c:pt idx="69">
                  <c:v>769</c:v>
                </c:pt>
                <c:pt idx="70">
                  <c:v>748</c:v>
                </c:pt>
                <c:pt idx="71">
                  <c:v>737</c:v>
                </c:pt>
                <c:pt idx="72">
                  <c:v>697</c:v>
                </c:pt>
                <c:pt idx="73">
                  <c:v>684</c:v>
                </c:pt>
                <c:pt idx="74">
                  <c:v>639</c:v>
                </c:pt>
                <c:pt idx="75">
                  <c:v>625</c:v>
                </c:pt>
                <c:pt idx="76">
                  <c:v>561</c:v>
                </c:pt>
                <c:pt idx="77">
                  <c:v>547</c:v>
                </c:pt>
                <c:pt idx="78">
                  <c:v>551</c:v>
                </c:pt>
                <c:pt idx="79">
                  <c:v>553</c:v>
                </c:pt>
                <c:pt idx="80">
                  <c:v>540</c:v>
                </c:pt>
                <c:pt idx="81">
                  <c:v>510</c:v>
                </c:pt>
                <c:pt idx="82">
                  <c:v>493</c:v>
                </c:pt>
                <c:pt idx="83">
                  <c:v>447</c:v>
                </c:pt>
                <c:pt idx="84">
                  <c:v>429</c:v>
                </c:pt>
                <c:pt idx="85">
                  <c:v>455</c:v>
                </c:pt>
                <c:pt idx="86">
                  <c:v>452</c:v>
                </c:pt>
                <c:pt idx="87">
                  <c:v>439</c:v>
                </c:pt>
                <c:pt idx="88">
                  <c:v>387</c:v>
                </c:pt>
                <c:pt idx="89">
                  <c:v>408</c:v>
                </c:pt>
                <c:pt idx="90">
                  <c:v>413</c:v>
                </c:pt>
                <c:pt idx="91">
                  <c:v>407</c:v>
                </c:pt>
                <c:pt idx="92">
                  <c:v>401</c:v>
                </c:pt>
                <c:pt idx="93">
                  <c:v>414</c:v>
                </c:pt>
                <c:pt idx="94">
                  <c:v>412</c:v>
                </c:pt>
                <c:pt idx="95">
                  <c:v>383</c:v>
                </c:pt>
              </c:numCache>
            </c:numRef>
          </c:val>
          <c:smooth val="0"/>
          <c:extLst>
            <c:ext xmlns:c16="http://schemas.microsoft.com/office/drawing/2014/chart" uri="{C3380CC4-5D6E-409C-BE32-E72D297353CC}">
              <c16:uniqueId val="{00000000-C167-408F-A74C-1FC1E901973A}"/>
            </c:ext>
          </c:extLst>
        </c:ser>
        <c:dLbls>
          <c:showLegendKey val="0"/>
          <c:showVal val="0"/>
          <c:showCatName val="0"/>
          <c:showSerName val="0"/>
          <c:showPercent val="0"/>
          <c:showBubbleSize val="0"/>
        </c:dLbls>
        <c:smooth val="0"/>
        <c:axId val="1838143215"/>
        <c:axId val="1838145711"/>
      </c:lineChart>
      <c:catAx>
        <c:axId val="1838143215"/>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Čas </a:t>
                </a:r>
                <a:r>
                  <a:rPr lang="en-US" sz="1100"/>
                  <a:t>[</a:t>
                </a:r>
                <a:r>
                  <a:rPr lang="cs-CZ" sz="1100"/>
                  <a:t>h</a:t>
                </a:r>
                <a:r>
                  <a:rPr lang="en-US" sz="1100"/>
                  <a:t>]</a:t>
                </a:r>
                <a:endParaRPr lang="cs-CZ" sz="1100"/>
              </a:p>
            </c:rich>
          </c:tx>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838145711"/>
        <c:crosses val="autoZero"/>
        <c:auto val="1"/>
        <c:lblAlgn val="ctr"/>
        <c:lblOffset val="100"/>
        <c:noMultiLvlLbl val="0"/>
      </c:catAx>
      <c:valAx>
        <c:axId val="18381457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en-US" sz="1100"/>
                  <a:t>Okam</a:t>
                </a:r>
                <a:r>
                  <a:rPr lang="cs-CZ" sz="1100"/>
                  <a:t>žitý</a:t>
                </a:r>
                <a:r>
                  <a:rPr lang="cs-CZ" sz="1100" baseline="0"/>
                  <a:t> elektrický výkon </a:t>
                </a:r>
                <a:r>
                  <a:rPr lang="en-US" sz="1100" baseline="0"/>
                  <a:t>[</a:t>
                </a:r>
                <a:r>
                  <a:rPr lang="cs-CZ" sz="1100" baseline="0"/>
                  <a:t>kW</a:t>
                </a:r>
                <a:r>
                  <a:rPr lang="en-US" sz="1100" baseline="0"/>
                  <a:t>]</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8381432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cs-CZ" sz="1200" b="0"/>
              <a:t>Statická</a:t>
            </a:r>
            <a:r>
              <a:rPr lang="cs-CZ" sz="1200" b="0" baseline="0"/>
              <a:t> a dynamická doba návratnosti (Varianta B - bez dotace SFŽP ČR)</a:t>
            </a:r>
            <a:endParaRPr lang="cs-CZ" sz="1200" b="0"/>
          </a:p>
        </c:rich>
      </c:tx>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tx>
            <c:strRef>
              <c:f>'[Finanční analýza final.xlsx]Varianta B - výpočet'!$A$110</c:f>
              <c:strCache>
                <c:ptCount val="1"/>
                <c:pt idx="0">
                  <c:v>Kumulovaný součet hotovostních toků</c:v>
                </c:pt>
              </c:strCache>
            </c:strRef>
          </c:tx>
          <c:spPr>
            <a:ln w="28575" cap="rnd">
              <a:solidFill>
                <a:schemeClr val="accent1"/>
              </a:solidFill>
              <a:round/>
            </a:ln>
            <a:effectLst/>
          </c:spPr>
          <c:marker>
            <c:symbol val="none"/>
          </c:marker>
          <c:cat>
            <c:numRef>
              <c:f>'[Finanční analýza final.xlsx]Varianta B - výpočet'!$O$105:$AN$105</c:f>
              <c:numCache>
                <c:formatCode>General</c:formatCode>
                <c:ptCount val="2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numCache>
            </c:numRef>
          </c:cat>
          <c:val>
            <c:numRef>
              <c:f>'[Finanční analýza final.xlsx]Varianta B - výpočet'!$O$106:$AN$106</c:f>
              <c:numCache>
                <c:formatCode>0</c:formatCode>
                <c:ptCount val="26"/>
                <c:pt idx="0">
                  <c:v>-12508.683660000001</c:v>
                </c:pt>
                <c:pt idx="1">
                  <c:v>-11026.642320000001</c:v>
                </c:pt>
                <c:pt idx="2">
                  <c:v>-9544.6009800000011</c:v>
                </c:pt>
                <c:pt idx="3">
                  <c:v>-8062.5596400000013</c:v>
                </c:pt>
                <c:pt idx="4">
                  <c:v>-6580.5183000000015</c:v>
                </c:pt>
                <c:pt idx="5">
                  <c:v>-5098.4769600000018</c:v>
                </c:pt>
                <c:pt idx="6">
                  <c:v>-3616.435620000002</c:v>
                </c:pt>
                <c:pt idx="7">
                  <c:v>-2134.3942800000023</c:v>
                </c:pt>
                <c:pt idx="8">
                  <c:v>-652.35294000000249</c:v>
                </c:pt>
                <c:pt idx="9">
                  <c:v>829.68839999999727</c:v>
                </c:pt>
                <c:pt idx="10">
                  <c:v>2311.729739999997</c:v>
                </c:pt>
                <c:pt idx="11">
                  <c:v>3793.7710799999968</c:v>
                </c:pt>
                <c:pt idx="12">
                  <c:v>5275.8124199999966</c:v>
                </c:pt>
                <c:pt idx="13">
                  <c:v>6757.8537599999963</c:v>
                </c:pt>
                <c:pt idx="14">
                  <c:v>8239.8950999999961</c:v>
                </c:pt>
                <c:pt idx="15">
                  <c:v>9721.9364399999959</c:v>
                </c:pt>
                <c:pt idx="16">
                  <c:v>9733.9777799999956</c:v>
                </c:pt>
                <c:pt idx="17">
                  <c:v>11216.019119999995</c:v>
                </c:pt>
                <c:pt idx="18">
                  <c:v>12698.060459999995</c:v>
                </c:pt>
                <c:pt idx="19">
                  <c:v>14180.101799999995</c:v>
                </c:pt>
                <c:pt idx="20">
                  <c:v>15662.143139999995</c:v>
                </c:pt>
                <c:pt idx="21">
                  <c:v>17144.184479999996</c:v>
                </c:pt>
                <c:pt idx="22">
                  <c:v>18626.225819999996</c:v>
                </c:pt>
                <c:pt idx="23">
                  <c:v>20108.267159999996</c:v>
                </c:pt>
                <c:pt idx="24">
                  <c:v>21590.308499999996</c:v>
                </c:pt>
                <c:pt idx="25">
                  <c:v>23072.349839999995</c:v>
                </c:pt>
              </c:numCache>
            </c:numRef>
          </c:val>
          <c:smooth val="0"/>
          <c:extLst>
            <c:ext xmlns:c16="http://schemas.microsoft.com/office/drawing/2014/chart" uri="{C3380CC4-5D6E-409C-BE32-E72D297353CC}">
              <c16:uniqueId val="{00000000-9D0F-48E3-86A2-410044A8CE12}"/>
            </c:ext>
          </c:extLst>
        </c:ser>
        <c:ser>
          <c:idx val="1"/>
          <c:order val="1"/>
          <c:tx>
            <c:strRef>
              <c:f>'[Finanční analýza final.xlsx]Varianta B - výpočet'!$A$111</c:f>
              <c:strCache>
                <c:ptCount val="1"/>
                <c:pt idx="0">
                  <c:v>Kumulovaný součet diskontovaných hotovostních toků</c:v>
                </c:pt>
              </c:strCache>
            </c:strRef>
          </c:tx>
          <c:spPr>
            <a:ln w="28575" cap="rnd">
              <a:solidFill>
                <a:schemeClr val="accent2"/>
              </a:solidFill>
              <a:round/>
            </a:ln>
            <a:effectLst/>
          </c:spPr>
          <c:marker>
            <c:symbol val="none"/>
          </c:marker>
          <c:cat>
            <c:numRef>
              <c:f>'[Finanční analýza final.xlsx]Varianta B - výpočet'!$O$105:$AN$105</c:f>
              <c:numCache>
                <c:formatCode>General</c:formatCode>
                <c:ptCount val="2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numCache>
            </c:numRef>
          </c:cat>
          <c:val>
            <c:numRef>
              <c:f>'[Finanční analýza final.xlsx]Varianta B - výpočet'!$O$107:$AN$107</c:f>
              <c:numCache>
                <c:formatCode>0</c:formatCode>
                <c:ptCount val="26"/>
                <c:pt idx="0">
                  <c:v>-12508.683660000001</c:v>
                </c:pt>
                <c:pt idx="1">
                  <c:v>-11097.215717142859</c:v>
                </c:pt>
                <c:pt idx="2">
                  <c:v>-9752.9605334693897</c:v>
                </c:pt>
                <c:pt idx="3">
                  <c:v>-8472.7175013994201</c:v>
                </c:pt>
                <c:pt idx="4">
                  <c:v>-7253.4384232375432</c:v>
                </c:pt>
                <c:pt idx="5">
                  <c:v>-6092.2202535595652</c:v>
                </c:pt>
                <c:pt idx="6">
                  <c:v>-4986.2981871995862</c:v>
                </c:pt>
                <c:pt idx="7">
                  <c:v>-3933.039076380559</c:v>
                </c:pt>
                <c:pt idx="8">
                  <c:v>-2929.9351613148183</c:v>
                </c:pt>
                <c:pt idx="9">
                  <c:v>-1974.5980993474464</c:v>
                </c:pt>
                <c:pt idx="10">
                  <c:v>-1064.7532784261398</c:v>
                </c:pt>
                <c:pt idx="11">
                  <c:v>-198.23440135822887</c:v>
                </c:pt>
                <c:pt idx="12">
                  <c:v>627.02167203978161</c:v>
                </c:pt>
                <c:pt idx="13">
                  <c:v>1412.9798371807437</c:v>
                </c:pt>
                <c:pt idx="14">
                  <c:v>2161.5114230292793</c:v>
                </c:pt>
                <c:pt idx="15">
                  <c:v>2874.3986476469322</c:v>
                </c:pt>
                <c:pt idx="16">
                  <c:v>2879.9149242411481</c:v>
                </c:pt>
                <c:pt idx="17">
                  <c:v>3526.5246517855044</c:v>
                </c:pt>
                <c:pt idx="18">
                  <c:v>4142.3434399229864</c:v>
                </c:pt>
                <c:pt idx="19">
                  <c:v>4728.8375238634453</c:v>
                </c:pt>
                <c:pt idx="20">
                  <c:v>5287.4033180924544</c:v>
                </c:pt>
                <c:pt idx="21">
                  <c:v>5819.3707411677005</c:v>
                </c:pt>
                <c:pt idx="22">
                  <c:v>6326.0063821917447</c:v>
                </c:pt>
                <c:pt idx="23">
                  <c:v>6808.5165165003582</c:v>
                </c:pt>
                <c:pt idx="24">
                  <c:v>7268.0499777466566</c:v>
                </c:pt>
                <c:pt idx="25">
                  <c:v>7705.7008932193221</c:v>
                </c:pt>
              </c:numCache>
            </c:numRef>
          </c:val>
          <c:smooth val="0"/>
          <c:extLst>
            <c:ext xmlns:c16="http://schemas.microsoft.com/office/drawing/2014/chart" uri="{C3380CC4-5D6E-409C-BE32-E72D297353CC}">
              <c16:uniqueId val="{00000001-9D0F-48E3-86A2-410044A8CE12}"/>
            </c:ext>
          </c:extLst>
        </c:ser>
        <c:dLbls>
          <c:showLegendKey val="0"/>
          <c:showVal val="0"/>
          <c:showCatName val="0"/>
          <c:showSerName val="0"/>
          <c:showPercent val="0"/>
          <c:showBubbleSize val="0"/>
        </c:dLbls>
        <c:smooth val="0"/>
        <c:axId val="911222463"/>
        <c:axId val="911222879"/>
      </c:lineChart>
      <c:catAx>
        <c:axId val="911222463"/>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cs-CZ" sz="1200"/>
                  <a:t>Rok</a:t>
                </a:r>
                <a:r>
                  <a:rPr lang="cs-CZ" sz="1200" baseline="0"/>
                  <a:t> hodnocení</a:t>
                </a:r>
                <a:endParaRPr lang="cs-CZ" sz="1200"/>
              </a:p>
            </c:rich>
          </c:tx>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crossAx val="911222879"/>
        <c:crosses val="autoZero"/>
        <c:auto val="1"/>
        <c:lblAlgn val="ctr"/>
        <c:lblOffset val="100"/>
        <c:noMultiLvlLbl val="0"/>
      </c:catAx>
      <c:valAx>
        <c:axId val="9112228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cs-CZ" sz="1200"/>
                  <a:t>Kumulovaný</a:t>
                </a:r>
                <a:r>
                  <a:rPr lang="cs-CZ" sz="1200" baseline="0"/>
                  <a:t> součet </a:t>
                </a:r>
                <a:r>
                  <a:rPr lang="en-US" sz="1200" baseline="0"/>
                  <a:t>[</a:t>
                </a:r>
                <a:r>
                  <a:rPr lang="cs-CZ" sz="1200" baseline="0"/>
                  <a:t>tis. Kč bez DPH</a:t>
                </a:r>
                <a:r>
                  <a:rPr lang="en-US" sz="1200" baseline="0"/>
                  <a:t>]</a:t>
                </a:r>
                <a:endParaRPr lang="cs-CZ" sz="1200"/>
              </a:p>
            </c:rich>
          </c:tx>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crossAx val="91122246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400" b="0" i="0" baseline="0">
                <a:effectLst/>
              </a:rPr>
              <a:t>Měsíční spotřeby tepla 2020</a:t>
            </a:r>
            <a:endParaRPr lang="cs-CZ" sz="1400">
              <a:effectLst/>
            </a:endParaRP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spPr>
            <a:solidFill>
              <a:srgbClr val="C00000"/>
            </a:solidFill>
            <a:ln>
              <a:noFill/>
            </a:ln>
            <a:effectLst/>
          </c:spPr>
          <c:invertIfNegative val="0"/>
          <c:cat>
            <c:strRef>
              <c:f>Měsiční_bilance_2020!$C$1:$J$1</c:f>
              <c:strCache>
                <c:ptCount val="8"/>
                <c:pt idx="0">
                  <c:v>Leden</c:v>
                </c:pt>
                <c:pt idx="1">
                  <c:v>Únor</c:v>
                </c:pt>
                <c:pt idx="2">
                  <c:v>Březen</c:v>
                </c:pt>
                <c:pt idx="3">
                  <c:v>Duben</c:v>
                </c:pt>
                <c:pt idx="4">
                  <c:v>Květen</c:v>
                </c:pt>
                <c:pt idx="5">
                  <c:v>Červen</c:v>
                </c:pt>
                <c:pt idx="6">
                  <c:v>Červenec</c:v>
                </c:pt>
                <c:pt idx="7">
                  <c:v>Srpen</c:v>
                </c:pt>
              </c:strCache>
            </c:strRef>
          </c:cat>
          <c:val>
            <c:numRef>
              <c:f>Měsiční_bilance_2020!$C$4:$J$4</c:f>
              <c:numCache>
                <c:formatCode>0.0</c:formatCode>
                <c:ptCount val="8"/>
                <c:pt idx="0">
                  <c:v>606.37264400000015</c:v>
                </c:pt>
                <c:pt idx="1">
                  <c:v>460.87970400000006</c:v>
                </c:pt>
                <c:pt idx="2">
                  <c:v>470.32364200000006</c:v>
                </c:pt>
                <c:pt idx="3">
                  <c:v>274.13626399999998</c:v>
                </c:pt>
                <c:pt idx="4">
                  <c:v>225.99450400000003</c:v>
                </c:pt>
                <c:pt idx="5">
                  <c:v>130.29334399999999</c:v>
                </c:pt>
                <c:pt idx="6">
                  <c:v>36.649856000000007</c:v>
                </c:pt>
                <c:pt idx="7">
                  <c:v>34.873658000000006</c:v>
                </c:pt>
              </c:numCache>
            </c:numRef>
          </c:val>
          <c:extLst>
            <c:ext xmlns:c16="http://schemas.microsoft.com/office/drawing/2014/chart" uri="{C3380CC4-5D6E-409C-BE32-E72D297353CC}">
              <c16:uniqueId val="{00000000-3F0C-430E-A22B-06B388062A69}"/>
            </c:ext>
          </c:extLst>
        </c:ser>
        <c:dLbls>
          <c:showLegendKey val="0"/>
          <c:showVal val="0"/>
          <c:showCatName val="0"/>
          <c:showSerName val="0"/>
          <c:showPercent val="0"/>
          <c:showBubbleSize val="0"/>
        </c:dLbls>
        <c:gapWidth val="219"/>
        <c:overlap val="-27"/>
        <c:axId val="655782408"/>
        <c:axId val="655782736"/>
      </c:barChart>
      <c:catAx>
        <c:axId val="655782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655782736"/>
        <c:crosses val="autoZero"/>
        <c:auto val="1"/>
        <c:lblAlgn val="ctr"/>
        <c:lblOffset val="100"/>
        <c:noMultiLvlLbl val="0"/>
      </c:catAx>
      <c:valAx>
        <c:axId val="655782736"/>
        <c:scaling>
          <c:orientation val="minMax"/>
          <c:max val="8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b="0" i="0" baseline="0">
                    <a:effectLst/>
                  </a:rPr>
                  <a:t>Vyrobené teplo (</a:t>
                </a:r>
                <a:r>
                  <a:rPr lang="el-GR" sz="1100" b="0" i="0" baseline="0">
                    <a:effectLst/>
                  </a:rPr>
                  <a:t>η</a:t>
                </a:r>
                <a:r>
                  <a:rPr lang="cs-CZ" sz="1100" b="0" i="0" baseline="0">
                    <a:effectLst/>
                  </a:rPr>
                  <a:t> = 92 %) </a:t>
                </a:r>
                <a:r>
                  <a:rPr lang="en-US" sz="1100" b="0" i="0" baseline="0">
                    <a:effectLst/>
                  </a:rPr>
                  <a:t>[</a:t>
                </a:r>
                <a:r>
                  <a:rPr lang="cs-CZ" sz="1100" b="0" i="0" baseline="0">
                    <a:effectLst/>
                  </a:rPr>
                  <a:t>MWh</a:t>
                </a:r>
                <a:r>
                  <a:rPr lang="en-US" sz="1100" b="0" i="0" baseline="0">
                    <a:effectLst/>
                  </a:rPr>
                  <a:t>]</a:t>
                </a:r>
                <a:endParaRPr lang="cs-CZ" sz="1100">
                  <a:effectLst/>
                </a:endParaRPr>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6557824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bg1">
          <a:lumMod val="75000"/>
        </a:schemeClr>
      </a:solidFill>
      <a:round/>
    </a:ln>
    <a:effectLst/>
  </c:spPr>
  <c:txPr>
    <a:bodyPr/>
    <a:lstStyle/>
    <a:p>
      <a:pPr>
        <a:defRPr/>
      </a:pPr>
      <a:endParaRPr lang="cs-CZ"/>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cs-CZ" sz="1200" b="0"/>
              <a:t>Statická</a:t>
            </a:r>
            <a:r>
              <a:rPr lang="cs-CZ" sz="1200" b="0" baseline="0"/>
              <a:t> a dynamická doba návratnosti (Varianta B - s dotací SFŽP ČR)</a:t>
            </a:r>
            <a:endParaRPr lang="cs-CZ" sz="1200" b="0"/>
          </a:p>
        </c:rich>
      </c:tx>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ndard"/>
        <c:varyColors val="0"/>
        <c:ser>
          <c:idx val="0"/>
          <c:order val="0"/>
          <c:tx>
            <c:strRef>
              <c:f>'[Finanční analýza final_s_dotací.xlsx]Varianta B - výpočet'!$A$111</c:f>
              <c:strCache>
                <c:ptCount val="1"/>
                <c:pt idx="0">
                  <c:v>Kumulovaný součet hotovostních toků</c:v>
                </c:pt>
              </c:strCache>
            </c:strRef>
          </c:tx>
          <c:spPr>
            <a:ln w="28575" cap="rnd">
              <a:solidFill>
                <a:schemeClr val="accent1"/>
              </a:solidFill>
              <a:round/>
            </a:ln>
            <a:effectLst/>
          </c:spPr>
          <c:marker>
            <c:symbol val="none"/>
          </c:marker>
          <c:cat>
            <c:numRef>
              <c:f>'[Finanční analýza final_s_dotací.xlsx]Varianta B - výpočet'!$O$106:$AN$106</c:f>
              <c:numCache>
                <c:formatCode>General</c:formatCode>
                <c:ptCount val="2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numCache>
            </c:numRef>
          </c:cat>
          <c:val>
            <c:numRef>
              <c:f>'[Finanční analýza final_s_dotací.xlsx]Varianta B - výpočet'!$O$107:$AN$107</c:f>
              <c:numCache>
                <c:formatCode>0</c:formatCode>
                <c:ptCount val="26"/>
                <c:pt idx="0">
                  <c:v>-7178.8836600000013</c:v>
                </c:pt>
                <c:pt idx="1">
                  <c:v>-5696.8423200000016</c:v>
                </c:pt>
                <c:pt idx="2">
                  <c:v>-4214.8009800000018</c:v>
                </c:pt>
                <c:pt idx="3">
                  <c:v>-2732.759640000002</c:v>
                </c:pt>
                <c:pt idx="4">
                  <c:v>-1250.7183000000023</c:v>
                </c:pt>
                <c:pt idx="5">
                  <c:v>231.32303999999749</c:v>
                </c:pt>
                <c:pt idx="6">
                  <c:v>1713.3643799999973</c:v>
                </c:pt>
                <c:pt idx="7">
                  <c:v>3195.405719999997</c:v>
                </c:pt>
                <c:pt idx="8">
                  <c:v>4677.4470599999968</c:v>
                </c:pt>
                <c:pt idx="9">
                  <c:v>6159.4883999999965</c:v>
                </c:pt>
                <c:pt idx="10">
                  <c:v>7641.5297399999963</c:v>
                </c:pt>
                <c:pt idx="11">
                  <c:v>9123.5710799999961</c:v>
                </c:pt>
                <c:pt idx="12">
                  <c:v>10605.612419999996</c:v>
                </c:pt>
                <c:pt idx="13">
                  <c:v>12087.653759999996</c:v>
                </c:pt>
                <c:pt idx="14">
                  <c:v>13569.695099999995</c:v>
                </c:pt>
                <c:pt idx="15">
                  <c:v>15051.736439999995</c:v>
                </c:pt>
                <c:pt idx="16">
                  <c:v>15063.777779999995</c:v>
                </c:pt>
                <c:pt idx="17">
                  <c:v>16545.819119999993</c:v>
                </c:pt>
                <c:pt idx="18">
                  <c:v>18027.860459999993</c:v>
                </c:pt>
                <c:pt idx="19">
                  <c:v>19509.901799999992</c:v>
                </c:pt>
                <c:pt idx="20">
                  <c:v>20991.943139999992</c:v>
                </c:pt>
                <c:pt idx="21">
                  <c:v>22473.984479999992</c:v>
                </c:pt>
                <c:pt idx="22">
                  <c:v>23956.025819999992</c:v>
                </c:pt>
                <c:pt idx="23">
                  <c:v>25438.067159999991</c:v>
                </c:pt>
                <c:pt idx="24">
                  <c:v>26920.108499999991</c:v>
                </c:pt>
                <c:pt idx="25">
                  <c:v>28402.149839999991</c:v>
                </c:pt>
              </c:numCache>
            </c:numRef>
          </c:val>
          <c:smooth val="0"/>
          <c:extLst>
            <c:ext xmlns:c16="http://schemas.microsoft.com/office/drawing/2014/chart" uri="{C3380CC4-5D6E-409C-BE32-E72D297353CC}">
              <c16:uniqueId val="{00000000-5C0D-482E-B982-9F7F0CEA981C}"/>
            </c:ext>
          </c:extLst>
        </c:ser>
        <c:ser>
          <c:idx val="1"/>
          <c:order val="1"/>
          <c:tx>
            <c:strRef>
              <c:f>'[Finanční analýza final_s_dotací.xlsx]Varianta B - výpočet'!$A$112</c:f>
              <c:strCache>
                <c:ptCount val="1"/>
                <c:pt idx="0">
                  <c:v>Kumulovaný součet diskontovaných hotovostních toků</c:v>
                </c:pt>
              </c:strCache>
            </c:strRef>
          </c:tx>
          <c:spPr>
            <a:ln w="28575" cap="rnd">
              <a:solidFill>
                <a:schemeClr val="accent2"/>
              </a:solidFill>
              <a:round/>
            </a:ln>
            <a:effectLst/>
          </c:spPr>
          <c:marker>
            <c:symbol val="none"/>
          </c:marker>
          <c:cat>
            <c:numRef>
              <c:f>'[Finanční analýza final_s_dotací.xlsx]Varianta B - výpočet'!$O$106:$AN$106</c:f>
              <c:numCache>
                <c:formatCode>General</c:formatCode>
                <c:ptCount val="2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numCache>
            </c:numRef>
          </c:cat>
          <c:val>
            <c:numRef>
              <c:f>'[Finanční analýza final_s_dotací.xlsx]Varianta B - výpočet'!$O$108:$AN$108</c:f>
              <c:numCache>
                <c:formatCode>0</c:formatCode>
                <c:ptCount val="26"/>
                <c:pt idx="0">
                  <c:v>-7178.8836600000013</c:v>
                </c:pt>
                <c:pt idx="1">
                  <c:v>-5767.4157171428587</c:v>
                </c:pt>
                <c:pt idx="2">
                  <c:v>-4423.1605334693895</c:v>
                </c:pt>
                <c:pt idx="3">
                  <c:v>-3142.9175013994191</c:v>
                </c:pt>
                <c:pt idx="4">
                  <c:v>-1923.6384232375422</c:v>
                </c:pt>
                <c:pt idx="5">
                  <c:v>-762.42025355956434</c:v>
                </c:pt>
                <c:pt idx="6">
                  <c:v>343.50181280041465</c:v>
                </c:pt>
                <c:pt idx="7">
                  <c:v>1396.7609236194421</c:v>
                </c:pt>
                <c:pt idx="8">
                  <c:v>2399.8648386851828</c:v>
                </c:pt>
                <c:pt idx="9">
                  <c:v>3355.2019006525547</c:v>
                </c:pt>
                <c:pt idx="10">
                  <c:v>4265.0467215738609</c:v>
                </c:pt>
                <c:pt idx="11">
                  <c:v>5131.5655986417714</c:v>
                </c:pt>
                <c:pt idx="12">
                  <c:v>5956.8216720397822</c:v>
                </c:pt>
                <c:pt idx="13">
                  <c:v>6742.7798371807448</c:v>
                </c:pt>
                <c:pt idx="14">
                  <c:v>7491.3114230292804</c:v>
                </c:pt>
                <c:pt idx="15">
                  <c:v>8204.1986476469338</c:v>
                </c:pt>
                <c:pt idx="16">
                  <c:v>8209.7149242411488</c:v>
                </c:pt>
                <c:pt idx="17">
                  <c:v>8856.3246517855041</c:v>
                </c:pt>
                <c:pt idx="18">
                  <c:v>9472.1434399229856</c:v>
                </c:pt>
                <c:pt idx="19">
                  <c:v>10058.637523863445</c:v>
                </c:pt>
                <c:pt idx="20">
                  <c:v>10617.203318092454</c:v>
                </c:pt>
                <c:pt idx="21">
                  <c:v>11149.1707411677</c:v>
                </c:pt>
                <c:pt idx="22">
                  <c:v>11655.806382191744</c:v>
                </c:pt>
                <c:pt idx="23">
                  <c:v>12138.316516500357</c:v>
                </c:pt>
                <c:pt idx="24">
                  <c:v>12597.849977746657</c:v>
                </c:pt>
                <c:pt idx="25">
                  <c:v>13035.500893219321</c:v>
                </c:pt>
              </c:numCache>
            </c:numRef>
          </c:val>
          <c:smooth val="0"/>
          <c:extLst>
            <c:ext xmlns:c16="http://schemas.microsoft.com/office/drawing/2014/chart" uri="{C3380CC4-5D6E-409C-BE32-E72D297353CC}">
              <c16:uniqueId val="{00000001-5C0D-482E-B982-9F7F0CEA981C}"/>
            </c:ext>
          </c:extLst>
        </c:ser>
        <c:dLbls>
          <c:showLegendKey val="0"/>
          <c:showVal val="0"/>
          <c:showCatName val="0"/>
          <c:showSerName val="0"/>
          <c:showPercent val="0"/>
          <c:showBubbleSize val="0"/>
        </c:dLbls>
        <c:smooth val="0"/>
        <c:axId val="911222463"/>
        <c:axId val="911222879"/>
      </c:lineChart>
      <c:catAx>
        <c:axId val="911222463"/>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cs-CZ" sz="1200"/>
                  <a:t>Rok</a:t>
                </a:r>
                <a:r>
                  <a:rPr lang="cs-CZ" sz="1200" baseline="0"/>
                  <a:t> hodnocení</a:t>
                </a:r>
                <a:endParaRPr lang="cs-CZ" sz="1200"/>
              </a:p>
            </c:rich>
          </c:tx>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crossAx val="911222879"/>
        <c:crosses val="autoZero"/>
        <c:auto val="1"/>
        <c:lblAlgn val="ctr"/>
        <c:lblOffset val="100"/>
        <c:noMultiLvlLbl val="0"/>
      </c:catAx>
      <c:valAx>
        <c:axId val="9112228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cs-CZ" sz="1200"/>
                  <a:t>Kumulovaný</a:t>
                </a:r>
                <a:r>
                  <a:rPr lang="cs-CZ" sz="1200" baseline="0"/>
                  <a:t> součet </a:t>
                </a:r>
                <a:r>
                  <a:rPr lang="en-US" sz="1200" baseline="0"/>
                  <a:t>[</a:t>
                </a:r>
                <a:r>
                  <a:rPr lang="cs-CZ" sz="1200" baseline="0"/>
                  <a:t>tis. Kč bez DPH</a:t>
                </a:r>
                <a:r>
                  <a:rPr lang="en-US" sz="1200" baseline="0"/>
                  <a:t>]</a:t>
                </a:r>
                <a:endParaRPr lang="cs-CZ" sz="1200"/>
              </a:p>
            </c:rich>
          </c:tx>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crossAx val="91122246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Hodinová spotřeba tepla (neděle 3. 2. 2019)</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spPr>
            <a:solidFill>
              <a:srgbClr val="C00000"/>
            </a:solidFill>
            <a:ln>
              <a:solidFill>
                <a:srgbClr val="C00000"/>
              </a:solidFill>
            </a:ln>
            <a:effectLst/>
          </c:spPr>
          <c:invertIfNegative val="0"/>
          <c:cat>
            <c:numRef>
              <c:f>Měsíční_bilance_2019!$J$91:$J$114</c:f>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f>Měsíční_bilance_2019!$F$91:$F$114</c:f>
              <c:numCache>
                <c:formatCode>General</c:formatCode>
                <c:ptCount val="24"/>
                <c:pt idx="0">
                  <c:v>0.57265400000000011</c:v>
                </c:pt>
                <c:pt idx="1">
                  <c:v>0.39794600000000002</c:v>
                </c:pt>
                <c:pt idx="2">
                  <c:v>0.76677400000000007</c:v>
                </c:pt>
                <c:pt idx="3">
                  <c:v>0.22323800000000002</c:v>
                </c:pt>
                <c:pt idx="4">
                  <c:v>0.72794999999999999</c:v>
                </c:pt>
                <c:pt idx="5">
                  <c:v>0.427064</c:v>
                </c:pt>
                <c:pt idx="6">
                  <c:v>1.0288360000000001</c:v>
                </c:pt>
                <c:pt idx="7">
                  <c:v>0.81530400000000003</c:v>
                </c:pt>
                <c:pt idx="8">
                  <c:v>0.69883200000000012</c:v>
                </c:pt>
                <c:pt idx="9">
                  <c:v>0.67942000000000002</c:v>
                </c:pt>
                <c:pt idx="10">
                  <c:v>0.66000800000000004</c:v>
                </c:pt>
                <c:pt idx="11">
                  <c:v>0.61147800000000008</c:v>
                </c:pt>
                <c:pt idx="12">
                  <c:v>0.39794600000000002</c:v>
                </c:pt>
                <c:pt idx="13">
                  <c:v>1.11619</c:v>
                </c:pt>
                <c:pt idx="14">
                  <c:v>0.33971000000000001</c:v>
                </c:pt>
                <c:pt idx="15">
                  <c:v>0.87354000000000009</c:v>
                </c:pt>
                <c:pt idx="16">
                  <c:v>0.79589200000000004</c:v>
                </c:pt>
                <c:pt idx="17">
                  <c:v>0.58235999999999999</c:v>
                </c:pt>
                <c:pt idx="18">
                  <c:v>0.91236400000000006</c:v>
                </c:pt>
                <c:pt idx="19">
                  <c:v>0.62118400000000007</c:v>
                </c:pt>
                <c:pt idx="20">
                  <c:v>0.94148200000000004</c:v>
                </c:pt>
                <c:pt idx="21">
                  <c:v>0.74736200000000008</c:v>
                </c:pt>
                <c:pt idx="22">
                  <c:v>0.57265400000000011</c:v>
                </c:pt>
                <c:pt idx="23">
                  <c:v>0.31059200000000003</c:v>
                </c:pt>
              </c:numCache>
            </c:numRef>
          </c:val>
          <c:extLst>
            <c:ext xmlns:c16="http://schemas.microsoft.com/office/drawing/2014/chart" uri="{C3380CC4-5D6E-409C-BE32-E72D297353CC}">
              <c16:uniqueId val="{00000000-D878-4B5D-B206-B61FFD311F9A}"/>
            </c:ext>
          </c:extLst>
        </c:ser>
        <c:dLbls>
          <c:showLegendKey val="0"/>
          <c:showVal val="0"/>
          <c:showCatName val="0"/>
          <c:showSerName val="0"/>
          <c:showPercent val="0"/>
          <c:showBubbleSize val="0"/>
        </c:dLbls>
        <c:gapWidth val="150"/>
        <c:axId val="509040232"/>
        <c:axId val="509040888"/>
        <c:extLst>
          <c:ext xmlns:c15="http://schemas.microsoft.com/office/drawing/2012/chart" uri="{02D57815-91ED-43cb-92C2-25804820EDAC}">
            <c15:filteredBarSeries>
              <c15:ser>
                <c:idx val="1"/>
                <c:order val="1"/>
                <c:spPr>
                  <a:solidFill>
                    <a:schemeClr val="accent2"/>
                  </a:solidFill>
                  <a:ln>
                    <a:noFill/>
                  </a:ln>
                  <a:effectLst/>
                </c:spPr>
                <c:invertIfNegative val="0"/>
                <c:cat>
                  <c:numRef>
                    <c:extLst>
                      <c:ext uri="{02D57815-91ED-43cb-92C2-25804820EDAC}">
                        <c15:formulaRef>
                          <c15:sqref>Měsíční_bilance_2019!$J$91:$J$114</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c:ext uri="{02D57815-91ED-43cb-92C2-25804820EDAC}">
                        <c15:formulaRef>
                          <c15:sqref>Měsíční_bilance_2019!$G$91:$G$114</c15:sqref>
                        </c15:formulaRef>
                      </c:ext>
                    </c:extLst>
                    <c:numCache>
                      <c:formatCode>General</c:formatCode>
                      <c:ptCount val="24"/>
                    </c:numCache>
                  </c:numRef>
                </c:val>
                <c:extLst>
                  <c:ext xmlns:c16="http://schemas.microsoft.com/office/drawing/2014/chart" uri="{C3380CC4-5D6E-409C-BE32-E72D297353CC}">
                    <c16:uniqueId val="{00000001-D878-4B5D-B206-B61FFD311F9A}"/>
                  </c:ext>
                </c:extLst>
              </c15:ser>
            </c15:filteredBarSeries>
            <c15:filteredBarSeries>
              <c15:ser>
                <c:idx val="2"/>
                <c:order val="2"/>
                <c:spPr>
                  <a:solidFill>
                    <a:schemeClr val="accent3"/>
                  </a:solidFill>
                  <a:ln>
                    <a:noFill/>
                  </a:ln>
                  <a:effectLst/>
                </c:spPr>
                <c:invertIfNegative val="0"/>
                <c:cat>
                  <c:numRef>
                    <c:extLst xmlns:c15="http://schemas.microsoft.com/office/drawing/2012/chart">
                      <c:ext xmlns:c15="http://schemas.microsoft.com/office/drawing/2012/chart" uri="{02D57815-91ED-43cb-92C2-25804820EDAC}">
                        <c15:formulaRef>
                          <c15:sqref>Měsíční_bilance_2019!$J$91:$J$114</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xmlns:c15="http://schemas.microsoft.com/office/drawing/2012/chart">
                      <c:ext xmlns:c15="http://schemas.microsoft.com/office/drawing/2012/chart" uri="{02D57815-91ED-43cb-92C2-25804820EDAC}">
                        <c15:formulaRef>
                          <c15:sqref>Měsíční_bilance_2019!$H$91:$H$114</c15:sqref>
                        </c15:formulaRef>
                      </c:ext>
                    </c:extLst>
                    <c:numCache>
                      <c:formatCode>General</c:formatCode>
                      <c:ptCount val="24"/>
                    </c:numCache>
                  </c:numRef>
                </c:val>
                <c:extLst xmlns:c15="http://schemas.microsoft.com/office/drawing/2012/chart">
                  <c:ext xmlns:c16="http://schemas.microsoft.com/office/drawing/2014/chart" uri="{C3380CC4-5D6E-409C-BE32-E72D297353CC}">
                    <c16:uniqueId val="{00000002-D878-4B5D-B206-B61FFD311F9A}"/>
                  </c:ext>
                </c:extLst>
              </c15:ser>
            </c15:filteredBarSeries>
            <c15:filteredBarSeries>
              <c15:ser>
                <c:idx val="3"/>
                <c:order val="3"/>
                <c:spPr>
                  <a:solidFill>
                    <a:schemeClr val="accent4"/>
                  </a:solidFill>
                  <a:ln>
                    <a:noFill/>
                  </a:ln>
                  <a:effectLst/>
                </c:spPr>
                <c:invertIfNegative val="0"/>
                <c:cat>
                  <c:numRef>
                    <c:extLst xmlns:c15="http://schemas.microsoft.com/office/drawing/2012/chart">
                      <c:ext xmlns:c15="http://schemas.microsoft.com/office/drawing/2012/chart" uri="{02D57815-91ED-43cb-92C2-25804820EDAC}">
                        <c15:formulaRef>
                          <c15:sqref>Měsíční_bilance_2019!$J$91:$J$114</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xmlns:c15="http://schemas.microsoft.com/office/drawing/2012/chart">
                      <c:ext xmlns:c15="http://schemas.microsoft.com/office/drawing/2012/chart" uri="{02D57815-91ED-43cb-92C2-25804820EDAC}">
                        <c15:formulaRef>
                          <c15:sqref>Měsíční_bilance_2019!$I$91:$I$114</c15:sqref>
                        </c15:formulaRef>
                      </c:ext>
                    </c:extLst>
                    <c:numCache>
                      <c:formatCode>General</c:formatCode>
                      <c:ptCount val="24"/>
                    </c:numCache>
                  </c:numRef>
                </c:val>
                <c:extLst xmlns:c15="http://schemas.microsoft.com/office/drawing/2012/chart">
                  <c:ext xmlns:c16="http://schemas.microsoft.com/office/drawing/2014/chart" uri="{C3380CC4-5D6E-409C-BE32-E72D297353CC}">
                    <c16:uniqueId val="{00000003-D878-4B5D-B206-B61FFD311F9A}"/>
                  </c:ext>
                </c:extLst>
              </c15:ser>
            </c15:filteredBarSeries>
          </c:ext>
        </c:extLst>
      </c:barChart>
      <c:catAx>
        <c:axId val="509040232"/>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Čas</a:t>
                </a:r>
                <a:r>
                  <a:rPr lang="cs-CZ" sz="1100" baseline="0"/>
                  <a:t> </a:t>
                </a:r>
                <a:r>
                  <a:rPr lang="en-US" sz="1100" baseline="0"/>
                  <a:t>[</a:t>
                </a:r>
                <a:r>
                  <a:rPr lang="cs-CZ" sz="1100" baseline="0"/>
                  <a:t>h</a:t>
                </a:r>
                <a:r>
                  <a:rPr lang="en-US" sz="1100" baseline="0"/>
                  <a:t>]</a:t>
                </a:r>
                <a:endParaRPr lang="cs-CZ" sz="1100"/>
              </a:p>
            </c:rich>
          </c:tx>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509040888"/>
        <c:crosses val="autoZero"/>
        <c:auto val="1"/>
        <c:lblAlgn val="ctr"/>
        <c:lblOffset val="100"/>
        <c:noMultiLvlLbl val="0"/>
      </c:catAx>
      <c:valAx>
        <c:axId val="509040888"/>
        <c:scaling>
          <c:orientation val="minMax"/>
          <c:max val="2.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b="0" i="0" baseline="0">
                    <a:effectLst/>
                  </a:rPr>
                  <a:t>Vyrobené teplo (</a:t>
                </a:r>
                <a:r>
                  <a:rPr lang="el-GR" sz="1100" b="0" i="0" baseline="0">
                    <a:effectLst/>
                  </a:rPr>
                  <a:t>η</a:t>
                </a:r>
                <a:r>
                  <a:rPr lang="cs-CZ" sz="1100" b="0" i="0" baseline="0">
                    <a:effectLst/>
                  </a:rPr>
                  <a:t> = 92 %) </a:t>
                </a:r>
                <a:r>
                  <a:rPr lang="en-US" sz="1100" b="0" i="0" baseline="0">
                    <a:effectLst/>
                  </a:rPr>
                  <a:t>[</a:t>
                </a:r>
                <a:r>
                  <a:rPr lang="cs-CZ" sz="1100" b="0" i="0" baseline="0">
                    <a:effectLst/>
                  </a:rPr>
                  <a:t>MWh</a:t>
                </a:r>
                <a:r>
                  <a:rPr lang="en-US" sz="1100" b="0" i="0" baseline="0">
                    <a:effectLst/>
                  </a:rPr>
                  <a:t>]</a:t>
                </a:r>
                <a:endParaRPr lang="cs-CZ" sz="1100">
                  <a:effectLst/>
                </a:endParaRPr>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509040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Hodinová spotřeba tepla (pondělí 4. 2. 2019)</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spPr>
            <a:solidFill>
              <a:srgbClr val="C00000"/>
            </a:solidFill>
            <a:ln>
              <a:solidFill>
                <a:srgbClr val="C00000"/>
              </a:solidFill>
            </a:ln>
            <a:effectLst/>
          </c:spPr>
          <c:invertIfNegative val="0"/>
          <c:cat>
            <c:numRef>
              <c:f>Měsíční_bilance_2019!$J$117:$J$140</c:f>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f>Měsíční_bilance_2019!$F$117:$F$140</c:f>
              <c:numCache>
                <c:formatCode>General</c:formatCode>
                <c:ptCount val="24"/>
                <c:pt idx="0">
                  <c:v>1.11619</c:v>
                </c:pt>
                <c:pt idx="1">
                  <c:v>0.44647600000000004</c:v>
                </c:pt>
                <c:pt idx="2">
                  <c:v>0.89295200000000008</c:v>
                </c:pt>
                <c:pt idx="3">
                  <c:v>1.8053160000000001</c:v>
                </c:pt>
                <c:pt idx="4">
                  <c:v>1.8538460000000001</c:v>
                </c:pt>
                <c:pt idx="5">
                  <c:v>1.737374</c:v>
                </c:pt>
                <c:pt idx="6">
                  <c:v>2.0188480000000002</c:v>
                </c:pt>
                <c:pt idx="7">
                  <c:v>1.7859040000000002</c:v>
                </c:pt>
                <c:pt idx="8">
                  <c:v>1.679138</c:v>
                </c:pt>
                <c:pt idx="9">
                  <c:v>1.11619</c:v>
                </c:pt>
                <c:pt idx="10">
                  <c:v>1.7859040000000002</c:v>
                </c:pt>
                <c:pt idx="11">
                  <c:v>1.4267820000000002</c:v>
                </c:pt>
                <c:pt idx="12">
                  <c:v>1.5432540000000001</c:v>
                </c:pt>
                <c:pt idx="13">
                  <c:v>1.2908980000000001</c:v>
                </c:pt>
                <c:pt idx="14">
                  <c:v>1.125896</c:v>
                </c:pt>
                <c:pt idx="15">
                  <c:v>1.2423680000000001</c:v>
                </c:pt>
                <c:pt idx="16">
                  <c:v>1.2908980000000001</c:v>
                </c:pt>
                <c:pt idx="17">
                  <c:v>1.1841320000000002</c:v>
                </c:pt>
                <c:pt idx="18">
                  <c:v>1.1841320000000002</c:v>
                </c:pt>
                <c:pt idx="19">
                  <c:v>0.31059200000000003</c:v>
                </c:pt>
                <c:pt idx="20">
                  <c:v>0.74736200000000008</c:v>
                </c:pt>
                <c:pt idx="21">
                  <c:v>0.64059600000000005</c:v>
                </c:pt>
                <c:pt idx="22">
                  <c:v>1.0385420000000001</c:v>
                </c:pt>
                <c:pt idx="23">
                  <c:v>0.26206200000000002</c:v>
                </c:pt>
              </c:numCache>
            </c:numRef>
          </c:val>
          <c:extLst>
            <c:ext xmlns:c16="http://schemas.microsoft.com/office/drawing/2014/chart" uri="{C3380CC4-5D6E-409C-BE32-E72D297353CC}">
              <c16:uniqueId val="{00000000-A135-40C2-81F0-A7C72EFBE8F7}"/>
            </c:ext>
          </c:extLst>
        </c:ser>
        <c:dLbls>
          <c:showLegendKey val="0"/>
          <c:showVal val="0"/>
          <c:showCatName val="0"/>
          <c:showSerName val="0"/>
          <c:showPercent val="0"/>
          <c:showBubbleSize val="0"/>
        </c:dLbls>
        <c:gapWidth val="150"/>
        <c:axId val="657869680"/>
        <c:axId val="657870664"/>
        <c:extLst>
          <c:ext xmlns:c15="http://schemas.microsoft.com/office/drawing/2012/chart" uri="{02D57815-91ED-43cb-92C2-25804820EDAC}">
            <c15:filteredBarSeries>
              <c15:ser>
                <c:idx val="1"/>
                <c:order val="1"/>
                <c:spPr>
                  <a:solidFill>
                    <a:schemeClr val="accent2"/>
                  </a:solidFill>
                  <a:ln>
                    <a:noFill/>
                  </a:ln>
                  <a:effectLst/>
                </c:spPr>
                <c:invertIfNegative val="0"/>
                <c:cat>
                  <c:numRef>
                    <c:extLst>
                      <c:ext uri="{02D57815-91ED-43cb-92C2-25804820EDAC}">
                        <c15:formulaRef>
                          <c15:sqref>Měsíční_bilance_2019!$J$117:$J$140</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c:ext uri="{02D57815-91ED-43cb-92C2-25804820EDAC}">
                        <c15:formulaRef>
                          <c15:sqref>Měsíční_bilance_2019!$G$117:$G$140</c15:sqref>
                        </c15:formulaRef>
                      </c:ext>
                    </c:extLst>
                    <c:numCache>
                      <c:formatCode>General</c:formatCode>
                      <c:ptCount val="24"/>
                    </c:numCache>
                  </c:numRef>
                </c:val>
                <c:extLst>
                  <c:ext xmlns:c16="http://schemas.microsoft.com/office/drawing/2014/chart" uri="{C3380CC4-5D6E-409C-BE32-E72D297353CC}">
                    <c16:uniqueId val="{00000001-A135-40C2-81F0-A7C72EFBE8F7}"/>
                  </c:ext>
                </c:extLst>
              </c15:ser>
            </c15:filteredBarSeries>
            <c15:filteredBarSeries>
              <c15:ser>
                <c:idx val="2"/>
                <c:order val="2"/>
                <c:spPr>
                  <a:solidFill>
                    <a:schemeClr val="accent3"/>
                  </a:solidFill>
                  <a:ln>
                    <a:noFill/>
                  </a:ln>
                  <a:effectLst/>
                </c:spPr>
                <c:invertIfNegative val="0"/>
                <c:cat>
                  <c:numRef>
                    <c:extLst xmlns:c15="http://schemas.microsoft.com/office/drawing/2012/chart">
                      <c:ext xmlns:c15="http://schemas.microsoft.com/office/drawing/2012/chart" uri="{02D57815-91ED-43cb-92C2-25804820EDAC}">
                        <c15:formulaRef>
                          <c15:sqref>Měsíční_bilance_2019!$J$117:$J$140</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xmlns:c15="http://schemas.microsoft.com/office/drawing/2012/chart">
                      <c:ext xmlns:c15="http://schemas.microsoft.com/office/drawing/2012/chart" uri="{02D57815-91ED-43cb-92C2-25804820EDAC}">
                        <c15:formulaRef>
                          <c15:sqref>Měsíční_bilance_2019!$H$117:$H$140</c15:sqref>
                        </c15:formulaRef>
                      </c:ext>
                    </c:extLst>
                    <c:numCache>
                      <c:formatCode>General</c:formatCode>
                      <c:ptCount val="24"/>
                    </c:numCache>
                  </c:numRef>
                </c:val>
                <c:extLst xmlns:c15="http://schemas.microsoft.com/office/drawing/2012/chart">
                  <c:ext xmlns:c16="http://schemas.microsoft.com/office/drawing/2014/chart" uri="{C3380CC4-5D6E-409C-BE32-E72D297353CC}">
                    <c16:uniqueId val="{00000002-A135-40C2-81F0-A7C72EFBE8F7}"/>
                  </c:ext>
                </c:extLst>
              </c15:ser>
            </c15:filteredBarSeries>
            <c15:filteredBarSeries>
              <c15:ser>
                <c:idx val="3"/>
                <c:order val="3"/>
                <c:spPr>
                  <a:solidFill>
                    <a:schemeClr val="accent4"/>
                  </a:solidFill>
                  <a:ln>
                    <a:noFill/>
                  </a:ln>
                  <a:effectLst/>
                </c:spPr>
                <c:invertIfNegative val="0"/>
                <c:cat>
                  <c:numRef>
                    <c:extLst xmlns:c15="http://schemas.microsoft.com/office/drawing/2012/chart">
                      <c:ext xmlns:c15="http://schemas.microsoft.com/office/drawing/2012/chart" uri="{02D57815-91ED-43cb-92C2-25804820EDAC}">
                        <c15:formulaRef>
                          <c15:sqref>Měsíční_bilance_2019!$J$117:$J$140</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xmlns:c15="http://schemas.microsoft.com/office/drawing/2012/chart">
                      <c:ext xmlns:c15="http://schemas.microsoft.com/office/drawing/2012/chart" uri="{02D57815-91ED-43cb-92C2-25804820EDAC}">
                        <c15:formulaRef>
                          <c15:sqref>Měsíční_bilance_2019!$I$117:$I$140</c15:sqref>
                        </c15:formulaRef>
                      </c:ext>
                    </c:extLst>
                    <c:numCache>
                      <c:formatCode>General</c:formatCode>
                      <c:ptCount val="24"/>
                    </c:numCache>
                  </c:numRef>
                </c:val>
                <c:extLst xmlns:c15="http://schemas.microsoft.com/office/drawing/2012/chart">
                  <c:ext xmlns:c16="http://schemas.microsoft.com/office/drawing/2014/chart" uri="{C3380CC4-5D6E-409C-BE32-E72D297353CC}">
                    <c16:uniqueId val="{00000003-A135-40C2-81F0-A7C72EFBE8F7}"/>
                  </c:ext>
                </c:extLst>
              </c15:ser>
            </c15:filteredBarSeries>
          </c:ext>
        </c:extLst>
      </c:barChart>
      <c:catAx>
        <c:axId val="657869680"/>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Čas </a:t>
                </a:r>
                <a:r>
                  <a:rPr lang="en-US" sz="1100"/>
                  <a:t>[</a:t>
                </a:r>
                <a:r>
                  <a:rPr lang="cs-CZ" sz="1100"/>
                  <a:t>h</a:t>
                </a:r>
                <a:r>
                  <a:rPr lang="en-US" sz="1100"/>
                  <a:t>]</a:t>
                </a:r>
                <a:endParaRPr lang="cs-CZ" sz="1100"/>
              </a:p>
            </c:rich>
          </c:tx>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657870664"/>
        <c:crosses val="autoZero"/>
        <c:auto val="1"/>
        <c:lblAlgn val="ctr"/>
        <c:lblOffset val="100"/>
        <c:noMultiLvlLbl val="0"/>
      </c:catAx>
      <c:valAx>
        <c:axId val="657870664"/>
        <c:scaling>
          <c:orientation val="minMax"/>
          <c:max val="2.1"/>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b="0" i="0" baseline="0">
                    <a:effectLst/>
                  </a:rPr>
                  <a:t>Vyrobené teplo (</a:t>
                </a:r>
                <a:r>
                  <a:rPr lang="el-GR" sz="1100" b="0" i="0" baseline="0">
                    <a:effectLst/>
                  </a:rPr>
                  <a:t>η</a:t>
                </a:r>
                <a:r>
                  <a:rPr lang="cs-CZ" sz="1100" b="0" i="0" baseline="0">
                    <a:effectLst/>
                  </a:rPr>
                  <a:t> = 92 %) </a:t>
                </a:r>
                <a:r>
                  <a:rPr lang="en-US" sz="1100" b="0" i="0" baseline="0">
                    <a:effectLst/>
                  </a:rPr>
                  <a:t>[</a:t>
                </a:r>
                <a:r>
                  <a:rPr lang="cs-CZ" sz="1100" b="0" i="0" baseline="0">
                    <a:effectLst/>
                  </a:rPr>
                  <a:t>MWh</a:t>
                </a:r>
                <a:r>
                  <a:rPr lang="en-US" sz="1100" b="0" i="0" baseline="0">
                    <a:effectLst/>
                  </a:rPr>
                  <a:t>]</a:t>
                </a:r>
                <a:endParaRPr lang="cs-CZ" sz="1100">
                  <a:effectLst/>
                </a:endParaRPr>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6578696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Hodinová spotřeba tepla (neděle 21. 7. 2019)</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spPr>
            <a:solidFill>
              <a:srgbClr val="C00000"/>
            </a:solidFill>
            <a:ln>
              <a:solidFill>
                <a:srgbClr val="C00000"/>
              </a:solidFill>
            </a:ln>
            <a:effectLst/>
          </c:spPr>
          <c:invertIfNegative val="0"/>
          <c:cat>
            <c:numRef>
              <c:f>Měsíční_bilance_2019!$J$39:$J$62</c:f>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f>Měsíční_bilance_2019!$F$39:$F$62</c:f>
              <c:numCache>
                <c:formatCode>General</c:formatCode>
                <c:ptCount val="24"/>
                <c:pt idx="0">
                  <c:v>0</c:v>
                </c:pt>
                <c:pt idx="1">
                  <c:v>0</c:v>
                </c:pt>
                <c:pt idx="2">
                  <c:v>2.9117999999999998E-2</c:v>
                </c:pt>
                <c:pt idx="3">
                  <c:v>7.7648000000000009E-2</c:v>
                </c:pt>
                <c:pt idx="4">
                  <c:v>2.9117999999999998E-2</c:v>
                </c:pt>
                <c:pt idx="5">
                  <c:v>9.7060000000000007E-2</c:v>
                </c:pt>
                <c:pt idx="6">
                  <c:v>5.8235999999999996E-2</c:v>
                </c:pt>
                <c:pt idx="7">
                  <c:v>7.7648000000000009E-2</c:v>
                </c:pt>
                <c:pt idx="8">
                  <c:v>0</c:v>
                </c:pt>
                <c:pt idx="9">
                  <c:v>6.7942000000000002E-2</c:v>
                </c:pt>
                <c:pt idx="10">
                  <c:v>6.7942000000000002E-2</c:v>
                </c:pt>
                <c:pt idx="11">
                  <c:v>0</c:v>
                </c:pt>
                <c:pt idx="12">
                  <c:v>5.8235999999999996E-2</c:v>
                </c:pt>
                <c:pt idx="13">
                  <c:v>2.9117999999999998E-2</c:v>
                </c:pt>
                <c:pt idx="14">
                  <c:v>7.7648000000000009E-2</c:v>
                </c:pt>
                <c:pt idx="15">
                  <c:v>0</c:v>
                </c:pt>
                <c:pt idx="16">
                  <c:v>9.7060000000000007E-2</c:v>
                </c:pt>
                <c:pt idx="17">
                  <c:v>1.9412000000000002E-2</c:v>
                </c:pt>
                <c:pt idx="18">
                  <c:v>0</c:v>
                </c:pt>
                <c:pt idx="19">
                  <c:v>9.7060000000000011E-3</c:v>
                </c:pt>
                <c:pt idx="20">
                  <c:v>2.9117999999999998E-2</c:v>
                </c:pt>
                <c:pt idx="21">
                  <c:v>0</c:v>
                </c:pt>
                <c:pt idx="22">
                  <c:v>0</c:v>
                </c:pt>
                <c:pt idx="23">
                  <c:v>0</c:v>
                </c:pt>
              </c:numCache>
            </c:numRef>
          </c:val>
          <c:extLst>
            <c:ext xmlns:c16="http://schemas.microsoft.com/office/drawing/2014/chart" uri="{C3380CC4-5D6E-409C-BE32-E72D297353CC}">
              <c16:uniqueId val="{00000000-CE46-4DAF-9F50-9C34CF5F069B}"/>
            </c:ext>
          </c:extLst>
        </c:ser>
        <c:dLbls>
          <c:showLegendKey val="0"/>
          <c:showVal val="0"/>
          <c:showCatName val="0"/>
          <c:showSerName val="0"/>
          <c:showPercent val="0"/>
          <c:showBubbleSize val="0"/>
        </c:dLbls>
        <c:gapWidth val="150"/>
        <c:axId val="276853216"/>
        <c:axId val="276853544"/>
        <c:extLst>
          <c:ext xmlns:c15="http://schemas.microsoft.com/office/drawing/2012/chart" uri="{02D57815-91ED-43cb-92C2-25804820EDAC}">
            <c15:filteredBarSeries>
              <c15:ser>
                <c:idx val="1"/>
                <c:order val="1"/>
                <c:spPr>
                  <a:solidFill>
                    <a:schemeClr val="accent2"/>
                  </a:solidFill>
                  <a:ln>
                    <a:noFill/>
                  </a:ln>
                  <a:effectLst/>
                </c:spPr>
                <c:invertIfNegative val="0"/>
                <c:cat>
                  <c:numRef>
                    <c:extLst>
                      <c:ext uri="{02D57815-91ED-43cb-92C2-25804820EDAC}">
                        <c15:formulaRef>
                          <c15:sqref>Měsíční_bilance_2019!$J$39:$J$62</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c:ext uri="{02D57815-91ED-43cb-92C2-25804820EDAC}">
                        <c15:formulaRef>
                          <c15:sqref>Měsíční_bilance_2019!$G$39:$G$62</c15:sqref>
                        </c15:formulaRef>
                      </c:ext>
                    </c:extLst>
                    <c:numCache>
                      <c:formatCode>General</c:formatCode>
                      <c:ptCount val="24"/>
                    </c:numCache>
                  </c:numRef>
                </c:val>
                <c:extLst>
                  <c:ext xmlns:c16="http://schemas.microsoft.com/office/drawing/2014/chart" uri="{C3380CC4-5D6E-409C-BE32-E72D297353CC}">
                    <c16:uniqueId val="{00000001-CE46-4DAF-9F50-9C34CF5F069B}"/>
                  </c:ext>
                </c:extLst>
              </c15:ser>
            </c15:filteredBarSeries>
            <c15:filteredBarSeries>
              <c15:ser>
                <c:idx val="2"/>
                <c:order val="2"/>
                <c:spPr>
                  <a:solidFill>
                    <a:schemeClr val="accent3"/>
                  </a:solidFill>
                  <a:ln>
                    <a:noFill/>
                  </a:ln>
                  <a:effectLst/>
                </c:spPr>
                <c:invertIfNegative val="0"/>
                <c:cat>
                  <c:numRef>
                    <c:extLst xmlns:c15="http://schemas.microsoft.com/office/drawing/2012/chart">
                      <c:ext xmlns:c15="http://schemas.microsoft.com/office/drawing/2012/chart" uri="{02D57815-91ED-43cb-92C2-25804820EDAC}">
                        <c15:formulaRef>
                          <c15:sqref>Měsíční_bilance_2019!$J$39:$J$62</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xmlns:c15="http://schemas.microsoft.com/office/drawing/2012/chart">
                      <c:ext xmlns:c15="http://schemas.microsoft.com/office/drawing/2012/chart" uri="{02D57815-91ED-43cb-92C2-25804820EDAC}">
                        <c15:formulaRef>
                          <c15:sqref>Měsíční_bilance_2019!$H$39:$H$62</c15:sqref>
                        </c15:formulaRef>
                      </c:ext>
                    </c:extLst>
                    <c:numCache>
                      <c:formatCode>General</c:formatCode>
                      <c:ptCount val="24"/>
                    </c:numCache>
                  </c:numRef>
                </c:val>
                <c:extLst xmlns:c15="http://schemas.microsoft.com/office/drawing/2012/chart">
                  <c:ext xmlns:c16="http://schemas.microsoft.com/office/drawing/2014/chart" uri="{C3380CC4-5D6E-409C-BE32-E72D297353CC}">
                    <c16:uniqueId val="{00000002-CE46-4DAF-9F50-9C34CF5F069B}"/>
                  </c:ext>
                </c:extLst>
              </c15:ser>
            </c15:filteredBarSeries>
            <c15:filteredBarSeries>
              <c15:ser>
                <c:idx val="3"/>
                <c:order val="3"/>
                <c:spPr>
                  <a:solidFill>
                    <a:schemeClr val="accent4"/>
                  </a:solidFill>
                  <a:ln>
                    <a:noFill/>
                  </a:ln>
                  <a:effectLst/>
                </c:spPr>
                <c:invertIfNegative val="0"/>
                <c:cat>
                  <c:numRef>
                    <c:extLst xmlns:c15="http://schemas.microsoft.com/office/drawing/2012/chart">
                      <c:ext xmlns:c15="http://schemas.microsoft.com/office/drawing/2012/chart" uri="{02D57815-91ED-43cb-92C2-25804820EDAC}">
                        <c15:formulaRef>
                          <c15:sqref>Měsíční_bilance_2019!$J$39:$J$62</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xmlns:c15="http://schemas.microsoft.com/office/drawing/2012/chart">
                      <c:ext xmlns:c15="http://schemas.microsoft.com/office/drawing/2012/chart" uri="{02D57815-91ED-43cb-92C2-25804820EDAC}">
                        <c15:formulaRef>
                          <c15:sqref>Měsíční_bilance_2019!$I$39:$I$62</c15:sqref>
                        </c15:formulaRef>
                      </c:ext>
                    </c:extLst>
                    <c:numCache>
                      <c:formatCode>General</c:formatCode>
                      <c:ptCount val="24"/>
                    </c:numCache>
                  </c:numRef>
                </c:val>
                <c:extLst xmlns:c15="http://schemas.microsoft.com/office/drawing/2012/chart">
                  <c:ext xmlns:c16="http://schemas.microsoft.com/office/drawing/2014/chart" uri="{C3380CC4-5D6E-409C-BE32-E72D297353CC}">
                    <c16:uniqueId val="{00000003-CE46-4DAF-9F50-9C34CF5F069B}"/>
                  </c:ext>
                </c:extLst>
              </c15:ser>
            </c15:filteredBarSeries>
          </c:ext>
        </c:extLst>
      </c:barChart>
      <c:catAx>
        <c:axId val="276853216"/>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Čas </a:t>
                </a:r>
                <a:r>
                  <a:rPr lang="en-US" sz="1100"/>
                  <a:t>[</a:t>
                </a:r>
                <a:r>
                  <a:rPr lang="cs-CZ" sz="1100"/>
                  <a:t>h</a:t>
                </a:r>
                <a:r>
                  <a:rPr lang="en-US" sz="1100"/>
                  <a:t>]</a:t>
                </a:r>
                <a:endParaRPr lang="cs-CZ" sz="1100"/>
              </a:p>
            </c:rich>
          </c:tx>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276853544"/>
        <c:crosses val="autoZero"/>
        <c:auto val="1"/>
        <c:lblAlgn val="ctr"/>
        <c:lblOffset val="100"/>
        <c:noMultiLvlLbl val="0"/>
      </c:catAx>
      <c:valAx>
        <c:axId val="276853544"/>
        <c:scaling>
          <c:orientation val="minMax"/>
          <c:max val="0.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b="0" i="0" baseline="0">
                    <a:effectLst/>
                  </a:rPr>
                  <a:t>Vyrobené teplo (</a:t>
                </a:r>
                <a:r>
                  <a:rPr lang="el-GR" sz="1100" b="0" i="0" baseline="0">
                    <a:effectLst/>
                  </a:rPr>
                  <a:t>η</a:t>
                </a:r>
                <a:r>
                  <a:rPr lang="cs-CZ" sz="1100" b="0" i="0" baseline="0">
                    <a:effectLst/>
                  </a:rPr>
                  <a:t> = 92 %) </a:t>
                </a:r>
                <a:r>
                  <a:rPr lang="en-US" sz="1100" b="0" i="0" baseline="0">
                    <a:effectLst/>
                  </a:rPr>
                  <a:t>[</a:t>
                </a:r>
                <a:r>
                  <a:rPr lang="cs-CZ" sz="1100" b="0" i="0" baseline="0">
                    <a:effectLst/>
                  </a:rPr>
                  <a:t>MWh</a:t>
                </a:r>
                <a:r>
                  <a:rPr lang="en-US" sz="1100" b="0" i="0" baseline="0">
                    <a:effectLst/>
                  </a:rPr>
                  <a:t>]</a:t>
                </a:r>
                <a:endParaRPr lang="cs-CZ" sz="1100">
                  <a:effectLst/>
                </a:endParaRPr>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276853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400" b="0" i="0" baseline="0">
                <a:effectLst/>
              </a:rPr>
              <a:t>Hodinová spotřeba tepla (pondělí 22. 7. 2019)</a:t>
            </a:r>
            <a:endParaRPr lang="cs-CZ" sz="1400">
              <a:effectLst/>
            </a:endParaRP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spPr>
            <a:solidFill>
              <a:srgbClr val="C00000"/>
            </a:solidFill>
            <a:ln>
              <a:noFill/>
            </a:ln>
            <a:effectLst/>
          </c:spPr>
          <c:invertIfNegative val="0"/>
          <c:cat>
            <c:numRef>
              <c:f>Měsíční_bilance_2019!$J$65:$J$88</c:f>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f>Měsíční_bilance_2019!$F$65:$F$88</c:f>
              <c:numCache>
                <c:formatCode>General</c:formatCode>
                <c:ptCount val="24"/>
                <c:pt idx="0">
                  <c:v>0</c:v>
                </c:pt>
                <c:pt idx="1">
                  <c:v>0</c:v>
                </c:pt>
                <c:pt idx="2">
                  <c:v>1.9412000000000002E-2</c:v>
                </c:pt>
                <c:pt idx="3">
                  <c:v>0.106766</c:v>
                </c:pt>
                <c:pt idx="4">
                  <c:v>0.14559</c:v>
                </c:pt>
                <c:pt idx="5">
                  <c:v>9.7060000000000007E-2</c:v>
                </c:pt>
                <c:pt idx="6">
                  <c:v>5.8235999999999996E-2</c:v>
                </c:pt>
                <c:pt idx="7">
                  <c:v>9.7060000000000007E-2</c:v>
                </c:pt>
                <c:pt idx="8">
                  <c:v>8.7354000000000015E-2</c:v>
                </c:pt>
                <c:pt idx="9">
                  <c:v>0.11647199999999999</c:v>
                </c:pt>
                <c:pt idx="10">
                  <c:v>9.7060000000000007E-2</c:v>
                </c:pt>
                <c:pt idx="11">
                  <c:v>8.7354000000000015E-2</c:v>
                </c:pt>
                <c:pt idx="12">
                  <c:v>0.11647199999999999</c:v>
                </c:pt>
                <c:pt idx="13">
                  <c:v>0.106766</c:v>
                </c:pt>
                <c:pt idx="14">
                  <c:v>9.7060000000000007E-2</c:v>
                </c:pt>
                <c:pt idx="15">
                  <c:v>8.7354000000000015E-2</c:v>
                </c:pt>
                <c:pt idx="16">
                  <c:v>9.7060000000000007E-2</c:v>
                </c:pt>
                <c:pt idx="17">
                  <c:v>3.8824000000000004E-2</c:v>
                </c:pt>
                <c:pt idx="18">
                  <c:v>1.9412000000000002E-2</c:v>
                </c:pt>
                <c:pt idx="19">
                  <c:v>0</c:v>
                </c:pt>
                <c:pt idx="20">
                  <c:v>0</c:v>
                </c:pt>
                <c:pt idx="21">
                  <c:v>0</c:v>
                </c:pt>
                <c:pt idx="22">
                  <c:v>0</c:v>
                </c:pt>
                <c:pt idx="23">
                  <c:v>0</c:v>
                </c:pt>
              </c:numCache>
            </c:numRef>
          </c:val>
          <c:extLst>
            <c:ext xmlns:c16="http://schemas.microsoft.com/office/drawing/2014/chart" uri="{C3380CC4-5D6E-409C-BE32-E72D297353CC}">
              <c16:uniqueId val="{00000000-CCA2-442C-AB3F-12F33411DEC0}"/>
            </c:ext>
          </c:extLst>
        </c:ser>
        <c:dLbls>
          <c:showLegendKey val="0"/>
          <c:showVal val="0"/>
          <c:showCatName val="0"/>
          <c:showSerName val="0"/>
          <c:showPercent val="0"/>
          <c:showBubbleSize val="0"/>
        </c:dLbls>
        <c:gapWidth val="150"/>
        <c:axId val="523746424"/>
        <c:axId val="523750688"/>
        <c:extLst>
          <c:ext xmlns:c15="http://schemas.microsoft.com/office/drawing/2012/chart" uri="{02D57815-91ED-43cb-92C2-25804820EDAC}">
            <c15:filteredBarSeries>
              <c15:ser>
                <c:idx val="1"/>
                <c:order val="1"/>
                <c:spPr>
                  <a:solidFill>
                    <a:schemeClr val="accent2"/>
                  </a:solidFill>
                  <a:ln>
                    <a:noFill/>
                  </a:ln>
                  <a:effectLst/>
                </c:spPr>
                <c:invertIfNegative val="0"/>
                <c:cat>
                  <c:numRef>
                    <c:extLst>
                      <c:ext uri="{02D57815-91ED-43cb-92C2-25804820EDAC}">
                        <c15:formulaRef>
                          <c15:sqref>Měsíční_bilance_2019!$J$65:$J$88</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c:ext uri="{02D57815-91ED-43cb-92C2-25804820EDAC}">
                        <c15:formulaRef>
                          <c15:sqref>Měsíční_bilance_2019!$G$65:$G$88</c15:sqref>
                        </c15:formulaRef>
                      </c:ext>
                    </c:extLst>
                    <c:numCache>
                      <c:formatCode>General</c:formatCode>
                      <c:ptCount val="24"/>
                    </c:numCache>
                  </c:numRef>
                </c:val>
                <c:extLst>
                  <c:ext xmlns:c16="http://schemas.microsoft.com/office/drawing/2014/chart" uri="{C3380CC4-5D6E-409C-BE32-E72D297353CC}">
                    <c16:uniqueId val="{00000001-CCA2-442C-AB3F-12F33411DEC0}"/>
                  </c:ext>
                </c:extLst>
              </c15:ser>
            </c15:filteredBarSeries>
            <c15:filteredBarSeries>
              <c15:ser>
                <c:idx val="2"/>
                <c:order val="2"/>
                <c:spPr>
                  <a:solidFill>
                    <a:schemeClr val="accent3"/>
                  </a:solidFill>
                  <a:ln>
                    <a:noFill/>
                  </a:ln>
                  <a:effectLst/>
                </c:spPr>
                <c:invertIfNegative val="0"/>
                <c:cat>
                  <c:numRef>
                    <c:extLst xmlns:c15="http://schemas.microsoft.com/office/drawing/2012/chart">
                      <c:ext xmlns:c15="http://schemas.microsoft.com/office/drawing/2012/chart" uri="{02D57815-91ED-43cb-92C2-25804820EDAC}">
                        <c15:formulaRef>
                          <c15:sqref>Měsíční_bilance_2019!$J$65:$J$88</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xmlns:c15="http://schemas.microsoft.com/office/drawing/2012/chart">
                      <c:ext xmlns:c15="http://schemas.microsoft.com/office/drawing/2012/chart" uri="{02D57815-91ED-43cb-92C2-25804820EDAC}">
                        <c15:formulaRef>
                          <c15:sqref>Měsíční_bilance_2019!$H$65:$H$88</c15:sqref>
                        </c15:formulaRef>
                      </c:ext>
                    </c:extLst>
                    <c:numCache>
                      <c:formatCode>General</c:formatCode>
                      <c:ptCount val="24"/>
                    </c:numCache>
                  </c:numRef>
                </c:val>
                <c:extLst xmlns:c15="http://schemas.microsoft.com/office/drawing/2012/chart">
                  <c:ext xmlns:c16="http://schemas.microsoft.com/office/drawing/2014/chart" uri="{C3380CC4-5D6E-409C-BE32-E72D297353CC}">
                    <c16:uniqueId val="{00000002-CCA2-442C-AB3F-12F33411DEC0}"/>
                  </c:ext>
                </c:extLst>
              </c15:ser>
            </c15:filteredBarSeries>
            <c15:filteredBarSeries>
              <c15:ser>
                <c:idx val="3"/>
                <c:order val="3"/>
                <c:spPr>
                  <a:solidFill>
                    <a:schemeClr val="accent4"/>
                  </a:solidFill>
                  <a:ln>
                    <a:noFill/>
                  </a:ln>
                  <a:effectLst/>
                </c:spPr>
                <c:invertIfNegative val="0"/>
                <c:cat>
                  <c:numRef>
                    <c:extLst xmlns:c15="http://schemas.microsoft.com/office/drawing/2012/chart">
                      <c:ext xmlns:c15="http://schemas.microsoft.com/office/drawing/2012/chart" uri="{02D57815-91ED-43cb-92C2-25804820EDAC}">
                        <c15:formulaRef>
                          <c15:sqref>Měsíční_bilance_2019!$J$65:$J$88</c15:sqref>
                        </c15:formulaRef>
                      </c:ext>
                    </c:extLst>
                    <c:numCache>
                      <c:formatCode>0</c:formatCod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numCache>
                  </c:numRef>
                </c:cat>
                <c:val>
                  <c:numRef>
                    <c:extLst xmlns:c15="http://schemas.microsoft.com/office/drawing/2012/chart">
                      <c:ext xmlns:c15="http://schemas.microsoft.com/office/drawing/2012/chart" uri="{02D57815-91ED-43cb-92C2-25804820EDAC}">
                        <c15:formulaRef>
                          <c15:sqref>Měsíční_bilance_2019!$I$65:$I$88</c15:sqref>
                        </c15:formulaRef>
                      </c:ext>
                    </c:extLst>
                    <c:numCache>
                      <c:formatCode>General</c:formatCode>
                      <c:ptCount val="24"/>
                    </c:numCache>
                  </c:numRef>
                </c:val>
                <c:extLst xmlns:c15="http://schemas.microsoft.com/office/drawing/2012/chart">
                  <c:ext xmlns:c16="http://schemas.microsoft.com/office/drawing/2014/chart" uri="{C3380CC4-5D6E-409C-BE32-E72D297353CC}">
                    <c16:uniqueId val="{00000003-CCA2-442C-AB3F-12F33411DEC0}"/>
                  </c:ext>
                </c:extLst>
              </c15:ser>
            </c15:filteredBarSeries>
          </c:ext>
        </c:extLst>
      </c:barChart>
      <c:catAx>
        <c:axId val="523746424"/>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Čas</a:t>
                </a:r>
                <a:r>
                  <a:rPr lang="cs-CZ" sz="1100" baseline="0"/>
                  <a:t> </a:t>
                </a:r>
                <a:r>
                  <a:rPr lang="en-US" sz="1100" baseline="0"/>
                  <a:t>[</a:t>
                </a:r>
                <a:r>
                  <a:rPr lang="cs-CZ" sz="1100" baseline="0"/>
                  <a:t>h</a:t>
                </a:r>
                <a:r>
                  <a:rPr lang="en-US" sz="1100" baseline="0"/>
                  <a:t>]</a:t>
                </a:r>
                <a:endParaRPr lang="cs-CZ" sz="1100"/>
              </a:p>
            </c:rich>
          </c:tx>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523750688"/>
        <c:crosses val="autoZero"/>
        <c:auto val="1"/>
        <c:lblAlgn val="ctr"/>
        <c:lblOffset val="100"/>
        <c:noMultiLvlLbl val="0"/>
      </c:catAx>
      <c:valAx>
        <c:axId val="523750688"/>
        <c:scaling>
          <c:orientation val="minMax"/>
          <c:max val="0.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b="0" i="0" baseline="0">
                    <a:effectLst/>
                  </a:rPr>
                  <a:t>Vyrobené teplo (</a:t>
                </a:r>
                <a:r>
                  <a:rPr lang="el-GR" sz="1100" b="0" i="0" baseline="0">
                    <a:effectLst/>
                  </a:rPr>
                  <a:t>η</a:t>
                </a:r>
                <a:r>
                  <a:rPr lang="cs-CZ" sz="1100" b="0" i="0" baseline="0">
                    <a:effectLst/>
                  </a:rPr>
                  <a:t> = 92 %) </a:t>
                </a:r>
                <a:r>
                  <a:rPr lang="en-US" sz="1100" b="0" i="0" baseline="0">
                    <a:effectLst/>
                  </a:rPr>
                  <a:t>[</a:t>
                </a:r>
                <a:r>
                  <a:rPr lang="cs-CZ" sz="1100" b="0" i="0" baseline="0">
                    <a:effectLst/>
                  </a:rPr>
                  <a:t>MWh</a:t>
                </a:r>
                <a:r>
                  <a:rPr lang="en-US" sz="1100" b="0" i="0" baseline="0">
                    <a:effectLst/>
                  </a:rPr>
                  <a:t>]</a:t>
                </a:r>
                <a:endParaRPr lang="cs-CZ" sz="1100">
                  <a:effectLst/>
                </a:endParaRPr>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523746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r>
              <a:rPr lang="cs-CZ" sz="1150"/>
              <a:t>Měsíční dodávka chladu a spotřeba el. energie 2019 (zdroj chladu 1)</a:t>
            </a:r>
          </a:p>
        </c:rich>
      </c:tx>
      <c:layout/>
      <c:overlay val="0"/>
      <c:spPr>
        <a:noFill/>
        <a:ln>
          <a:noFill/>
        </a:ln>
        <a:effectLst/>
      </c:spPr>
      <c:txPr>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'el_ch1 a ch2 měsíční 19+20'!$T$12</c:f>
              <c:strCache>
                <c:ptCount val="1"/>
                <c:pt idx="0">
                  <c:v>chlad dodaný do soustavy</c:v>
                </c:pt>
              </c:strCache>
            </c:strRef>
          </c:tx>
          <c:spPr>
            <a:solidFill>
              <a:srgbClr val="00B0F0"/>
            </a:solidFill>
            <a:ln>
              <a:solidFill>
                <a:srgbClr val="00B0F0"/>
              </a:solidFill>
            </a:ln>
            <a:effectLst/>
          </c:spPr>
          <c:invertIfNegative val="0"/>
          <c:cat>
            <c:strRef>
              <c:f>'el_ch1 a ch2 měsíční 19+20'!$A$14:$A$25</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'el_ch1 a ch2 měsíční 19+20'!$G$14:$G$25</c:f>
              <c:numCache>
                <c:formatCode>0</c:formatCode>
                <c:ptCount val="12"/>
                <c:pt idx="0">
                  <c:v>0</c:v>
                </c:pt>
                <c:pt idx="1">
                  <c:v>0</c:v>
                </c:pt>
                <c:pt idx="2">
                  <c:v>0</c:v>
                </c:pt>
                <c:pt idx="3">
                  <c:v>1.3888888888888888</c:v>
                </c:pt>
                <c:pt idx="4">
                  <c:v>13.888888888888889</c:v>
                </c:pt>
                <c:pt idx="5">
                  <c:v>73.333333333333329</c:v>
                </c:pt>
                <c:pt idx="6">
                  <c:v>328.33333333333331</c:v>
                </c:pt>
                <c:pt idx="7">
                  <c:v>295</c:v>
                </c:pt>
                <c:pt idx="8">
                  <c:v>272.5</c:v>
                </c:pt>
                <c:pt idx="9">
                  <c:v>158.61111111111111</c:v>
                </c:pt>
                <c:pt idx="10">
                  <c:v>94.444444444444443</c:v>
                </c:pt>
                <c:pt idx="11">
                  <c:v>0.83333333333333326</c:v>
                </c:pt>
              </c:numCache>
            </c:numRef>
          </c:val>
          <c:extLst>
            <c:ext xmlns:c16="http://schemas.microsoft.com/office/drawing/2014/chart" uri="{C3380CC4-5D6E-409C-BE32-E72D297353CC}">
              <c16:uniqueId val="{00000000-6176-456F-A7BA-C594DBA6AC32}"/>
            </c:ext>
          </c:extLst>
        </c:ser>
        <c:ser>
          <c:idx val="1"/>
          <c:order val="1"/>
          <c:tx>
            <c:strRef>
              <c:f>'el_ch1 a ch2 měsíční 19+20'!$T$13</c:f>
              <c:strCache>
                <c:ptCount val="1"/>
                <c:pt idx="0">
                  <c:v>el. energie spotřebovaná</c:v>
                </c:pt>
              </c:strCache>
            </c:strRef>
          </c:tx>
          <c:spPr>
            <a:solidFill>
              <a:srgbClr val="B17029"/>
            </a:solidFill>
            <a:ln>
              <a:noFill/>
            </a:ln>
            <a:effectLst/>
          </c:spPr>
          <c:invertIfNegative val="0"/>
          <c:val>
            <c:numRef>
              <c:f>'el_ch1 a ch2 měsíční 19+20'!$D$14:$D$25</c:f>
              <c:numCache>
                <c:formatCode>#,##0</c:formatCode>
                <c:ptCount val="12"/>
                <c:pt idx="0">
                  <c:v>0</c:v>
                </c:pt>
                <c:pt idx="1">
                  <c:v>0</c:v>
                </c:pt>
                <c:pt idx="2">
                  <c:v>0</c:v>
                </c:pt>
                <c:pt idx="3">
                  <c:v>2</c:v>
                </c:pt>
                <c:pt idx="4">
                  <c:v>25</c:v>
                </c:pt>
                <c:pt idx="5">
                  <c:v>113</c:v>
                </c:pt>
                <c:pt idx="6">
                  <c:v>99</c:v>
                </c:pt>
                <c:pt idx="7">
                  <c:v>92</c:v>
                </c:pt>
                <c:pt idx="8">
                  <c:v>55</c:v>
                </c:pt>
                <c:pt idx="9">
                  <c:v>31</c:v>
                </c:pt>
                <c:pt idx="10">
                  <c:v>5</c:v>
                </c:pt>
                <c:pt idx="11">
                  <c:v>1</c:v>
                </c:pt>
              </c:numCache>
            </c:numRef>
          </c:val>
          <c:extLst>
            <c:ext xmlns:c16="http://schemas.microsoft.com/office/drawing/2014/chart" uri="{C3380CC4-5D6E-409C-BE32-E72D297353CC}">
              <c16:uniqueId val="{00000001-6176-456F-A7BA-C594DBA6AC32}"/>
            </c:ext>
          </c:extLst>
        </c:ser>
        <c:dLbls>
          <c:showLegendKey val="0"/>
          <c:showVal val="0"/>
          <c:showCatName val="0"/>
          <c:showSerName val="0"/>
          <c:showPercent val="0"/>
          <c:showBubbleSize val="0"/>
        </c:dLbls>
        <c:gapWidth val="219"/>
        <c:overlap val="-27"/>
        <c:axId val="1068046511"/>
        <c:axId val="1068037775"/>
      </c:barChart>
      <c:catAx>
        <c:axId val="10680465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8037775"/>
        <c:crosses val="autoZero"/>
        <c:auto val="1"/>
        <c:lblAlgn val="ctr"/>
        <c:lblOffset val="100"/>
        <c:noMultiLvlLbl val="0"/>
      </c:catAx>
      <c:valAx>
        <c:axId val="10680377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cs-CZ" sz="1200"/>
                  <a:t>Energie </a:t>
                </a:r>
                <a:r>
                  <a:rPr lang="en-US" sz="1200"/>
                  <a:t>[</a:t>
                </a:r>
                <a:r>
                  <a:rPr lang="cs-CZ" sz="1200"/>
                  <a:t>MWh</a:t>
                </a:r>
                <a:r>
                  <a:rPr lang="en-US" sz="1200"/>
                  <a:t>]</a:t>
                </a:r>
                <a:endParaRPr lang="cs-CZ" sz="1200"/>
              </a:p>
            </c:rich>
          </c:tx>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8046511"/>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r>
              <a:rPr lang="cs-CZ" sz="1150"/>
              <a:t>Měsíční dodávka chladu a spotřeba el.</a:t>
            </a:r>
            <a:r>
              <a:rPr lang="cs-CZ" sz="1150" baseline="0"/>
              <a:t> energie</a:t>
            </a:r>
            <a:r>
              <a:rPr lang="cs-CZ" sz="1150"/>
              <a:t> 2020 (zdroj chladu 1)</a:t>
            </a:r>
          </a:p>
        </c:rich>
      </c:tx>
      <c:layout/>
      <c:overlay val="0"/>
      <c:spPr>
        <a:noFill/>
        <a:ln>
          <a:noFill/>
        </a:ln>
        <a:effectLst/>
      </c:spPr>
      <c:txPr>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'el_ch1 a ch2 měsíční 19+20'!$T$12</c:f>
              <c:strCache>
                <c:ptCount val="1"/>
                <c:pt idx="0">
                  <c:v>chlad dodaný do soustavy</c:v>
                </c:pt>
              </c:strCache>
            </c:strRef>
          </c:tx>
          <c:spPr>
            <a:solidFill>
              <a:srgbClr val="00B0F0"/>
            </a:solidFill>
            <a:ln>
              <a:solidFill>
                <a:srgbClr val="00B0F0"/>
              </a:solidFill>
            </a:ln>
            <a:effectLst/>
          </c:spPr>
          <c:invertIfNegative val="0"/>
          <c:cat>
            <c:strRef>
              <c:f>'el_ch1 a ch2 měsíční 19+20'!$A$44:$A$51</c:f>
              <c:strCache>
                <c:ptCount val="8"/>
                <c:pt idx="0">
                  <c:v>leden</c:v>
                </c:pt>
                <c:pt idx="1">
                  <c:v>únor</c:v>
                </c:pt>
                <c:pt idx="2">
                  <c:v>březen</c:v>
                </c:pt>
                <c:pt idx="3">
                  <c:v>duben</c:v>
                </c:pt>
                <c:pt idx="4">
                  <c:v>květen</c:v>
                </c:pt>
                <c:pt idx="5">
                  <c:v>červen</c:v>
                </c:pt>
                <c:pt idx="6">
                  <c:v>červenec</c:v>
                </c:pt>
                <c:pt idx="7">
                  <c:v>srpen</c:v>
                </c:pt>
              </c:strCache>
            </c:strRef>
          </c:cat>
          <c:val>
            <c:numRef>
              <c:f>'el_ch1 a ch2 měsíční 19+20'!$G$44:$G$51</c:f>
              <c:numCache>
                <c:formatCode>0</c:formatCode>
                <c:ptCount val="8"/>
                <c:pt idx="0">
                  <c:v>0</c:v>
                </c:pt>
                <c:pt idx="1">
                  <c:v>0</c:v>
                </c:pt>
                <c:pt idx="2">
                  <c:v>0</c:v>
                </c:pt>
                <c:pt idx="3">
                  <c:v>24.166666666666664</c:v>
                </c:pt>
                <c:pt idx="4">
                  <c:v>70.555555555555557</c:v>
                </c:pt>
                <c:pt idx="5">
                  <c:v>216.66666666666666</c:v>
                </c:pt>
                <c:pt idx="6">
                  <c:v>268.05555555555554</c:v>
                </c:pt>
                <c:pt idx="7">
                  <c:v>269.72222222222223</c:v>
                </c:pt>
              </c:numCache>
            </c:numRef>
          </c:val>
          <c:extLst>
            <c:ext xmlns:c16="http://schemas.microsoft.com/office/drawing/2014/chart" uri="{C3380CC4-5D6E-409C-BE32-E72D297353CC}">
              <c16:uniqueId val="{00000000-0EF1-455E-BB9A-09A01B47C84D}"/>
            </c:ext>
          </c:extLst>
        </c:ser>
        <c:ser>
          <c:idx val="1"/>
          <c:order val="1"/>
          <c:tx>
            <c:strRef>
              <c:f>'el_ch1 a ch2 měsíční 19+20'!$T$13</c:f>
              <c:strCache>
                <c:ptCount val="1"/>
                <c:pt idx="0">
                  <c:v>el. energie spotřebovaná</c:v>
                </c:pt>
              </c:strCache>
            </c:strRef>
          </c:tx>
          <c:spPr>
            <a:solidFill>
              <a:srgbClr val="B17029"/>
            </a:solidFill>
            <a:ln>
              <a:noFill/>
            </a:ln>
            <a:effectLst/>
          </c:spPr>
          <c:invertIfNegative val="0"/>
          <c:val>
            <c:numRef>
              <c:f>'el_ch1 a ch2 měsíční 19+20'!$D$44:$D$51</c:f>
              <c:numCache>
                <c:formatCode>#,##0</c:formatCode>
                <c:ptCount val="8"/>
                <c:pt idx="0">
                  <c:v>1</c:v>
                </c:pt>
                <c:pt idx="1">
                  <c:v>1</c:v>
                </c:pt>
                <c:pt idx="2">
                  <c:v>2</c:v>
                </c:pt>
                <c:pt idx="3">
                  <c:v>8</c:v>
                </c:pt>
                <c:pt idx="4">
                  <c:v>21</c:v>
                </c:pt>
                <c:pt idx="5">
                  <c:v>74</c:v>
                </c:pt>
                <c:pt idx="6">
                  <c:v>87</c:v>
                </c:pt>
                <c:pt idx="7">
                  <c:v>91</c:v>
                </c:pt>
              </c:numCache>
            </c:numRef>
          </c:val>
          <c:extLst>
            <c:ext xmlns:c16="http://schemas.microsoft.com/office/drawing/2014/chart" uri="{C3380CC4-5D6E-409C-BE32-E72D297353CC}">
              <c16:uniqueId val="{00000001-0EF1-455E-BB9A-09A01B47C84D}"/>
            </c:ext>
          </c:extLst>
        </c:ser>
        <c:dLbls>
          <c:showLegendKey val="0"/>
          <c:showVal val="0"/>
          <c:showCatName val="0"/>
          <c:showSerName val="0"/>
          <c:showPercent val="0"/>
          <c:showBubbleSize val="0"/>
        </c:dLbls>
        <c:gapWidth val="219"/>
        <c:overlap val="-27"/>
        <c:axId val="1068046511"/>
        <c:axId val="1068037775"/>
      </c:barChart>
      <c:catAx>
        <c:axId val="10680465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8037775"/>
        <c:crosses val="autoZero"/>
        <c:auto val="1"/>
        <c:lblAlgn val="ctr"/>
        <c:lblOffset val="100"/>
        <c:noMultiLvlLbl val="0"/>
      </c:catAx>
      <c:valAx>
        <c:axId val="1068037775"/>
        <c:scaling>
          <c:orientation val="minMax"/>
          <c:max val="3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b="0" i="0" baseline="0">
                    <a:effectLst/>
                  </a:rPr>
                  <a:t>Energie </a:t>
                </a:r>
                <a:r>
                  <a:rPr lang="en-US" sz="1100" b="0" i="0" baseline="0">
                    <a:effectLst/>
                  </a:rPr>
                  <a:t>[</a:t>
                </a:r>
                <a:r>
                  <a:rPr lang="cs-CZ" sz="1100" b="0" i="0" baseline="0">
                    <a:effectLst/>
                  </a:rPr>
                  <a:t>MWh</a:t>
                </a:r>
                <a:r>
                  <a:rPr lang="en-US" sz="1100" b="0" i="0" baseline="0">
                    <a:effectLst/>
                  </a:rPr>
                  <a:t>]</a:t>
                </a:r>
                <a:endParaRPr lang="cs-CZ" sz="1100">
                  <a:effectLst/>
                </a:endParaRPr>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8046511"/>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r>
              <a:rPr lang="cs-CZ" sz="1150"/>
              <a:t>Měsíční dodávka chladu a spotřeba el. energie</a:t>
            </a:r>
            <a:r>
              <a:rPr lang="cs-CZ" sz="1150" baseline="0"/>
              <a:t> </a:t>
            </a:r>
            <a:r>
              <a:rPr lang="cs-CZ" sz="1150"/>
              <a:t>2019 (zdroj chladu 2)</a:t>
            </a:r>
          </a:p>
        </c:rich>
      </c:tx>
      <c:layout/>
      <c:overlay val="0"/>
      <c:spPr>
        <a:noFill/>
        <a:ln>
          <a:noFill/>
        </a:ln>
        <a:effectLst/>
      </c:spPr>
      <c:txPr>
        <a:bodyPr rot="0" spcFirstLastPara="1" vertOverflow="ellipsis" vert="horz" wrap="square" anchor="ctr" anchorCtr="1"/>
        <a:lstStyle/>
        <a:p>
          <a:pPr>
            <a:defRPr sz="115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'el_ch1 a ch2 měsíční 19+20'!$T$12</c:f>
              <c:strCache>
                <c:ptCount val="1"/>
                <c:pt idx="0">
                  <c:v>chlad dodaný do soustavy</c:v>
                </c:pt>
              </c:strCache>
            </c:strRef>
          </c:tx>
          <c:spPr>
            <a:solidFill>
              <a:srgbClr val="00B0F0"/>
            </a:solidFill>
            <a:ln>
              <a:solidFill>
                <a:srgbClr val="00B0F0"/>
              </a:solidFill>
            </a:ln>
            <a:effectLst/>
          </c:spPr>
          <c:invertIfNegative val="0"/>
          <c:cat>
            <c:strRef>
              <c:f>'el_ch1 a ch2 měsíční 19+20'!$A$75:$A$86</c:f>
              <c:strCache>
                <c:ptCount val="12"/>
                <c:pt idx="0">
                  <c:v>leden</c:v>
                </c:pt>
                <c:pt idx="1">
                  <c:v>únor</c:v>
                </c:pt>
                <c:pt idx="2">
                  <c:v>březen</c:v>
                </c:pt>
                <c:pt idx="3">
                  <c:v>duben</c:v>
                </c:pt>
                <c:pt idx="4">
                  <c:v>květen</c:v>
                </c:pt>
                <c:pt idx="5">
                  <c:v>červen</c:v>
                </c:pt>
                <c:pt idx="6">
                  <c:v>červenec</c:v>
                </c:pt>
                <c:pt idx="7">
                  <c:v>srpen</c:v>
                </c:pt>
                <c:pt idx="8">
                  <c:v>září</c:v>
                </c:pt>
                <c:pt idx="9">
                  <c:v>říjen</c:v>
                </c:pt>
                <c:pt idx="10">
                  <c:v>listopad</c:v>
                </c:pt>
                <c:pt idx="11">
                  <c:v>prosinec</c:v>
                </c:pt>
              </c:strCache>
            </c:strRef>
          </c:cat>
          <c:val>
            <c:numRef>
              <c:f>'el_ch1 a ch2 měsíční 19+20'!$G$75:$G$86</c:f>
              <c:numCache>
                <c:formatCode>0</c:formatCode>
                <c:ptCount val="12"/>
                <c:pt idx="0">
                  <c:v>51.666666666666664</c:v>
                </c:pt>
                <c:pt idx="1">
                  <c:v>58.611111111111107</c:v>
                </c:pt>
                <c:pt idx="2">
                  <c:v>40.555555555555557</c:v>
                </c:pt>
                <c:pt idx="3">
                  <c:v>66.666666666666671</c:v>
                </c:pt>
                <c:pt idx="4">
                  <c:v>39.444444444444443</c:v>
                </c:pt>
                <c:pt idx="5">
                  <c:v>106.38888888888889</c:v>
                </c:pt>
                <c:pt idx="6">
                  <c:v>132.22222222222223</c:v>
                </c:pt>
                <c:pt idx="7">
                  <c:v>125.83333333333333</c:v>
                </c:pt>
                <c:pt idx="8">
                  <c:v>120.27777777777777</c:v>
                </c:pt>
                <c:pt idx="9">
                  <c:v>73.888888888888886</c:v>
                </c:pt>
                <c:pt idx="10">
                  <c:v>63.888888888888886</c:v>
                </c:pt>
                <c:pt idx="11">
                  <c:v>55.277777777777779</c:v>
                </c:pt>
              </c:numCache>
            </c:numRef>
          </c:val>
          <c:extLst>
            <c:ext xmlns:c16="http://schemas.microsoft.com/office/drawing/2014/chart" uri="{C3380CC4-5D6E-409C-BE32-E72D297353CC}">
              <c16:uniqueId val="{00000000-A8BD-4918-919F-C356E70A536B}"/>
            </c:ext>
          </c:extLst>
        </c:ser>
        <c:ser>
          <c:idx val="1"/>
          <c:order val="1"/>
          <c:tx>
            <c:strRef>
              <c:f>'el_ch1 a ch2 měsíční 19+20'!$T$13</c:f>
              <c:strCache>
                <c:ptCount val="1"/>
                <c:pt idx="0">
                  <c:v>el. energie spotřebovaná</c:v>
                </c:pt>
              </c:strCache>
            </c:strRef>
          </c:tx>
          <c:spPr>
            <a:solidFill>
              <a:srgbClr val="B17029"/>
            </a:solidFill>
            <a:ln>
              <a:noFill/>
            </a:ln>
            <a:effectLst/>
          </c:spPr>
          <c:invertIfNegative val="0"/>
          <c:val>
            <c:numRef>
              <c:f>'el_ch1 a ch2 měsíční 19+20'!$D$75:$D$86</c:f>
              <c:numCache>
                <c:formatCode>#,##0</c:formatCode>
                <c:ptCount val="12"/>
                <c:pt idx="0">
                  <c:v>7.04</c:v>
                </c:pt>
                <c:pt idx="1">
                  <c:v>10.88</c:v>
                </c:pt>
                <c:pt idx="2">
                  <c:v>18.88</c:v>
                </c:pt>
                <c:pt idx="3">
                  <c:v>27.52</c:v>
                </c:pt>
                <c:pt idx="4">
                  <c:v>20.16</c:v>
                </c:pt>
                <c:pt idx="5">
                  <c:v>6.4</c:v>
                </c:pt>
                <c:pt idx="6">
                  <c:v>7.04</c:v>
                </c:pt>
                <c:pt idx="7">
                  <c:v>9.92</c:v>
                </c:pt>
                <c:pt idx="8">
                  <c:v>4.8</c:v>
                </c:pt>
                <c:pt idx="9">
                  <c:v>11.2</c:v>
                </c:pt>
                <c:pt idx="10">
                  <c:v>16.64</c:v>
                </c:pt>
                <c:pt idx="11">
                  <c:v>10.56</c:v>
                </c:pt>
              </c:numCache>
            </c:numRef>
          </c:val>
          <c:extLst>
            <c:ext xmlns:c16="http://schemas.microsoft.com/office/drawing/2014/chart" uri="{C3380CC4-5D6E-409C-BE32-E72D297353CC}">
              <c16:uniqueId val="{00000001-A8BD-4918-919F-C356E70A536B}"/>
            </c:ext>
          </c:extLst>
        </c:ser>
        <c:dLbls>
          <c:showLegendKey val="0"/>
          <c:showVal val="0"/>
          <c:showCatName val="0"/>
          <c:showSerName val="0"/>
          <c:showPercent val="0"/>
          <c:showBubbleSize val="0"/>
        </c:dLbls>
        <c:gapWidth val="219"/>
        <c:overlap val="-27"/>
        <c:axId val="1068046511"/>
        <c:axId val="1068037775"/>
      </c:barChart>
      <c:catAx>
        <c:axId val="10680465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8037775"/>
        <c:crosses val="autoZero"/>
        <c:auto val="1"/>
        <c:lblAlgn val="ctr"/>
        <c:lblOffset val="100"/>
        <c:noMultiLvlLbl val="0"/>
      </c:catAx>
      <c:valAx>
        <c:axId val="10680377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cs-CZ" sz="1100"/>
                  <a:t>Energie </a:t>
                </a:r>
                <a:r>
                  <a:rPr lang="en-US" sz="1100"/>
                  <a:t>[</a:t>
                </a:r>
                <a:r>
                  <a:rPr lang="cs-CZ" sz="1100"/>
                  <a:t>MWh</a:t>
                </a:r>
                <a:r>
                  <a:rPr lang="en-US" sz="1100"/>
                  <a:t>]</a:t>
                </a:r>
                <a:endParaRPr lang="cs-CZ" sz="1100"/>
              </a:p>
            </c:rich>
          </c:tx>
          <c:layout/>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crossAx val="1068046511"/>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85CF28-C5A1-439A-9D6C-D4A6E8120A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12869</TotalTime>
  <Pages>80</Pages>
  <Words>16548</Words>
  <Characters>97637</Characters>
  <Application>Microsoft Office Word</Application>
  <DocSecurity>0</DocSecurity>
  <Lines>813</Lines>
  <Paragraphs>227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113958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Bres4</cp:lastModifiedBy>
  <cp:revision>57</cp:revision>
  <cp:lastPrinted>2020-12-22T11:08:00Z</cp:lastPrinted>
  <dcterms:created xsi:type="dcterms:W3CDTF">2020-09-10T13:11:00Z</dcterms:created>
  <dcterms:modified xsi:type="dcterms:W3CDTF">2020-12-22T11:14:00Z</dcterms:modified>
</cp:coreProperties>
</file>